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0f2f4a"/>
          <w:sz w:val="34"/>
          <w:szCs w:val="34"/>
        </w:rPr>
        <w:t xml:space="preserve">TOQEN KÂPITAL, S.A.</w:t>
      </w:r>
    </w:p>
    <w:p>
      <w:pPr>
        <w:spacing w:after="40"/>
        <w:jc w:val="center"/>
      </w:pPr>
      <w:r>
        <w:rPr>
          <w:b/>
          <w:bCs/>
          <w:color w:val="c8a46b"/>
          <w:sz w:val="26"/>
          <w:szCs w:val="26"/>
        </w:rPr>
        <w:t xml:space="preserve">Curso: Tokenización Inmobiliaria y Las Laderas del Pinillo</w:t>
      </w:r>
    </w:p>
    <w:p>
      <w:pPr>
        <w:spacing w:after="300"/>
        <w:jc w:val="center"/>
      </w:pPr>
      <w:r>
        <w:rPr>
          <w:i/>
          <w:iCs/>
          <w:color w:val="555555"/>
          <w:sz w:val="20"/>
          <w:szCs w:val="20"/>
        </w:rPr>
        <w:t xml:space="preserve">Programa formativo para inversores — Nivel: con experiencia financiera, sin experiencia previa en tokenización</w:t>
      </w:r>
    </w:p>
    <w:p>
      <w:pPr>
        <w:pStyle w:val="Heading2"/>
        <w:spacing w:after="100" w:before="220"/>
      </w:pPr>
      <w:r>
        <w:rPr>
          <w:b/>
          <w:bCs/>
          <w:color w:val="c8a46b"/>
          <w:sz w:val="22"/>
          <w:szCs w:val="22"/>
        </w:rPr>
        <w:t xml:space="preserve">Cómo usar este curso</w:t>
      </w:r>
    </w:p>
    <w:p>
      <w:pPr>
        <w:spacing w:after="120"/>
      </w:pPr>
      <w:r>
        <w:rPr>
          <w:color w:val="222222"/>
          <w:sz w:val="21"/>
          <w:szCs w:val="21"/>
        </w:rPr>
        <w:t xml:space="preserve">Este material está pensado para leerse en el orden propuesto: primero los fundamentos de la tecnología y del marco regulatorio, después el modelo específico de Toqen Kâpital y, por último, el proceso práctico de inversión. Cada módulo incluye una autoevaluación breve para consolidar los conceptos clave. Se asume que el lector conoce conceptos financieros básicos (renta fija, TAE, riesgo de crédito), por lo que estos no se explican desde cero; sí se explica en detalle todo lo relativo a blockchain, tokens y su encaje regulatorio, por ser el terreno nuevo para la mayoría de inversores.</w:t>
      </w:r>
    </w:p>
    <w:p>
      <w:pPr>
        <w:spacing w:after="100"/>
      </w:pPr>
      <w:r>
        <w:rPr>
          <w:b/>
          <w:bCs/>
          <w:color w:val="0f2f4a"/>
          <w:sz w:val="24"/>
          <w:szCs w:val="24"/>
        </w:rPr>
        <w:t xml:space="preserve">Índice</w:t>
      </w:r>
    </w:p>
    <w:p>
      <w:pPr>
        <w:pStyle w:val="ListParagraph"/>
        <w:numPr>
          <w:ilvl w:val="0"/>
          <w:numId w:val="2"/>
        </w:numPr>
        <w:spacing w:after="60"/>
      </w:pPr>
      <w:r>
        <w:rPr>
          <w:color w:val="222222"/>
          <w:sz w:val="21"/>
          <w:szCs w:val="21"/>
        </w:rPr>
        <w:t xml:space="preserve">Módulo 1 — Fundamentos: blockchain, wallets y tokens</w:t>
      </w:r>
    </w:p>
    <w:p>
      <w:pPr>
        <w:pStyle w:val="ListParagraph"/>
        <w:numPr>
          <w:ilvl w:val="0"/>
          <w:numId w:val="2"/>
        </w:numPr>
        <w:spacing w:after="60"/>
      </w:pPr>
      <w:r>
        <w:rPr>
          <w:color w:val="222222"/>
          <w:sz w:val="21"/>
          <w:szCs w:val="21"/>
        </w:rPr>
        <w:t xml:space="preserve">Módulo 2 — Tokenización de activos reales (RWA) y por qué el sector inmobiliario</w:t>
      </w:r>
    </w:p>
    <w:p>
      <w:pPr>
        <w:pStyle w:val="ListParagraph"/>
        <w:numPr>
          <w:ilvl w:val="0"/>
          <w:numId w:val="2"/>
        </w:numPr>
        <w:spacing w:after="60"/>
      </w:pPr>
      <w:r>
        <w:rPr>
          <w:color w:val="222222"/>
          <w:sz w:val="21"/>
          <w:szCs w:val="21"/>
        </w:rPr>
        <w:t xml:space="preserve">Módulo 3 — Marco regulatorio: LMV, CNMV y el papel del ERIR</w:t>
      </w:r>
    </w:p>
    <w:p>
      <w:pPr>
        <w:pStyle w:val="ListParagraph"/>
        <w:numPr>
          <w:ilvl w:val="0"/>
          <w:numId w:val="2"/>
        </w:numPr>
        <w:spacing w:after="60"/>
      </w:pPr>
      <w:r>
        <w:rPr>
          <w:color w:val="222222"/>
          <w:sz w:val="21"/>
          <w:szCs w:val="21"/>
        </w:rPr>
        <w:t xml:space="preserve">Módulo 4 — El modelo Toqen Kâpital: bono con garantía hipotecaria</w:t>
      </w:r>
    </w:p>
    <w:p>
      <w:pPr>
        <w:pStyle w:val="ListParagraph"/>
        <w:numPr>
          <w:ilvl w:val="0"/>
          <w:numId w:val="2"/>
        </w:numPr>
        <w:spacing w:after="60"/>
      </w:pPr>
      <w:r>
        <w:rPr>
          <w:color w:val="222222"/>
          <w:sz w:val="21"/>
          <w:szCs w:val="21"/>
        </w:rPr>
        <w:t xml:space="preserve">Módulo 5 — Las Laderas del Pinillo en detalle</w:t>
      </w:r>
    </w:p>
    <w:p>
      <w:pPr>
        <w:pStyle w:val="ListParagraph"/>
        <w:numPr>
          <w:ilvl w:val="0"/>
          <w:numId w:val="2"/>
        </w:numPr>
        <w:spacing w:after="60"/>
      </w:pPr>
      <w:r>
        <w:rPr>
          <w:color w:val="222222"/>
          <w:sz w:val="21"/>
          <w:szCs w:val="21"/>
        </w:rPr>
        <w:t xml:space="preserve">Módulo 6 — Proceso de inversión paso a paso</w:t>
      </w:r>
    </w:p>
    <w:p>
      <w:pPr>
        <w:pStyle w:val="ListParagraph"/>
        <w:numPr>
          <w:ilvl w:val="0"/>
          <w:numId w:val="2"/>
        </w:numPr>
        <w:spacing w:after="60"/>
      </w:pPr>
      <w:r>
        <w:rPr>
          <w:color w:val="222222"/>
          <w:sz w:val="21"/>
          <w:szCs w:val="21"/>
        </w:rPr>
        <w:t xml:space="preserve">Módulo 7 — Fiscalidad de la inversión (resumen)</w:t>
      </w:r>
    </w:p>
    <w:p>
      <w:pPr>
        <w:pStyle w:val="ListParagraph"/>
        <w:numPr>
          <w:ilvl w:val="0"/>
          <w:numId w:val="2"/>
        </w:numPr>
        <w:spacing w:after="60"/>
      </w:pPr>
      <w:r>
        <w:rPr>
          <w:color w:val="222222"/>
          <w:sz w:val="21"/>
          <w:szCs w:val="21"/>
        </w:rPr>
        <w:t xml:space="preserve">Módulo 8 — Riesgos y gestión de expectativas</w:t>
      </w:r>
    </w:p>
    <w:p>
      <w:pPr>
        <w:pStyle w:val="ListParagraph"/>
        <w:numPr>
          <w:ilvl w:val="0"/>
          <w:numId w:val="2"/>
        </w:numPr>
        <w:spacing w:after="60"/>
      </w:pPr>
      <w:r>
        <w:rPr>
          <w:color w:val="222222"/>
          <w:sz w:val="21"/>
          <w:szCs w:val="21"/>
        </w:rPr>
        <w:t xml:space="preserve">Módulo 9 — Mercado secundario y liquidez</w:t>
      </w:r>
    </w:p>
    <w:p>
      <w:pPr>
        <w:pStyle w:val="ListParagraph"/>
        <w:numPr>
          <w:ilvl w:val="0"/>
          <w:numId w:val="2"/>
        </w:numPr>
        <w:spacing w:after="60"/>
      </w:pPr>
      <w:r>
        <w:rPr>
          <w:color w:val="222222"/>
          <w:sz w:val="21"/>
          <w:szCs w:val="21"/>
        </w:rPr>
        <w:t xml:space="preserve">Módulo 10 — Glosario y evaluación final</w:t>
      </w:r>
    </w:p>
    <w:p>
      <w:r>
        <w:br w:type="page"/>
      </w:r>
    </w:p>
    <w:p>
      <w:pPr>
        <w:pStyle w:val="Heading1"/>
        <w:pBdr>
          <w:bottom w:val="single" w:color="c8a46b" w:sz="6" w:space="4"/>
        </w:pBdr>
        <w:spacing w:after="160" w:before="200"/>
      </w:pPr>
      <w:r>
        <w:rPr>
          <w:b/>
          <w:bCs/>
          <w:color w:val="0f2f4a"/>
          <w:sz w:val="28"/>
          <w:szCs w:val="28"/>
        </w:rPr>
        <w:t xml:space="preserve">Módulo 1. Fundamentos: blockchain, wallets y tokens</w:t>
      </w:r>
    </w:p>
    <w:p>
      <w:pPr>
        <w:pStyle w:val="Heading2"/>
        <w:spacing w:after="100" w:before="220"/>
      </w:pPr>
      <w:r>
        <w:rPr>
          <w:b/>
          <w:bCs/>
          <w:color w:val="c8a46b"/>
          <w:sz w:val="22"/>
          <w:szCs w:val="22"/>
        </w:rPr>
        <w:t xml:space="preserve">1.1 ¿Qué es una blockchain?</w:t>
      </w:r>
    </w:p>
    <w:p>
      <w:pPr>
        <w:spacing w:after="120"/>
      </w:pPr>
      <w:r>
        <w:rPr>
          <w:color w:val="222222"/>
          <w:sz w:val="21"/>
          <w:szCs w:val="21"/>
        </w:rPr>
        <w:t xml:space="preserve">Una blockchain es un libro de registro distribuido: una base de datos que se replica entre múltiples participantes (nodos) y en la que cada nuevo bloque de información queda enlazado criptográficamente al anterior. Esto hace que, una vez registrada una operación, sea extremadamente difícil de alterar sin que se detecte, lo que aporta trazabilidad y resistencia a la manipulación frente a un registro centralizado tradicional.</w:t>
      </w:r>
    </w:p>
    <w:p>
      <w:pPr>
        <w:pStyle w:val="Heading2"/>
        <w:spacing w:after="100" w:before="220"/>
      </w:pPr>
      <w:r>
        <w:rPr>
          <w:b/>
          <w:bCs/>
          <w:color w:val="c8a46b"/>
          <w:sz w:val="22"/>
          <w:szCs w:val="22"/>
        </w:rPr>
        <w:t xml:space="preserve">1.2 ¿Qué es un token y en qué se diferencia de una criptomoneda como Bitcoin?</w:t>
      </w:r>
    </w:p>
    <w:p>
      <w:pPr>
        <w:spacing w:after="120"/>
      </w:pPr>
      <w:r>
        <w:rPr>
          <w:color w:val="222222"/>
          <w:sz w:val="21"/>
          <w:szCs w:val="21"/>
        </w:rPr>
        <w:t xml:space="preserve">Bitcoin es la unidad nativa de su propia blockchain; no representa nada más que a sí misma. Un token, en cambio, se construye sobre una blockchain ya existente (por ejemplo, Ethereum u otra red compatible) y puede representar cualquier derecho: la titularidad de una participación, un derecho de crédito, un punto de fidelización, etc. En el caso de Toqen Kâpital, el token representa una fracción de un bono emitido por Toqen Kâpital, S.A., no una criptomoneda especulativa.</w:t>
      </w:r>
    </w:p>
    <w:p>
      <w:pPr>
        <w:pStyle w:val="Heading2"/>
        <w:spacing w:after="100" w:before="220"/>
      </w:pPr>
      <w:r>
        <w:rPr>
          <w:b/>
          <w:bCs/>
          <w:color w:val="c8a46b"/>
          <w:sz w:val="22"/>
          <w:szCs w:val="22"/>
        </w:rPr>
        <w:t xml:space="preserve">1.3 Wallets y claves privadas</w:t>
      </w:r>
    </w:p>
    <w:p>
      <w:pPr>
        <w:spacing w:after="120"/>
      </w:pPr>
      <w:r>
        <w:rPr>
          <w:color w:val="222222"/>
          <w:sz w:val="21"/>
          <w:szCs w:val="21"/>
        </w:rPr>
        <w:t xml:space="preserve">Una wallet (monedero digital) es la herramienta que permite gestionar y firmar operaciones sobre los tokens que posee un usuario. La wallet no 'contiene' los tokens físicamente: estos residen en la blockchain, y la wallet guarda las claves privadas que demuestran la titularidad y permiten autorizar transferencias. Quien tiene la clave privada controla el activo; por eso su custodia es la pieza de seguridad más importante para cualquier inversor en activos tokenizados.</w:t>
      </w:r>
    </w:p>
    <w:p>
      <w:pPr>
        <w:pStyle w:val="Heading2"/>
        <w:spacing w:after="100" w:before="220"/>
      </w:pPr>
      <w:r>
        <w:rPr>
          <w:b/>
          <w:bCs/>
          <w:color w:val="c8a46b"/>
          <w:sz w:val="22"/>
          <w:szCs w:val="22"/>
        </w:rPr>
        <w:t xml:space="preserve">1.4 Custodia propia vs. custodia gestionada</w:t>
      </w:r>
    </w:p>
    <w:p>
      <w:pPr>
        <w:spacing w:after="120"/>
      </w:pPr>
      <w:r>
        <w:rPr>
          <w:color w:val="222222"/>
          <w:sz w:val="21"/>
          <w:szCs w:val="21"/>
        </w:rPr>
        <w:t xml:space="preserve">Existen dos modelos principales: la autocustodia (el inversor guarda directamente sus claves privadas, con control total pero también responsabilidad total sobre su seguridad) y la custodia gestionada por un tercero autorizado, que guarda las claves en nombre del inversor con estándares de seguridad institucionales, de forma similar a como un banco custodia valores. Para inversores sin experiencia técnica previa, la custodia gestionada suele ser la opción recomendada.</w:t>
      </w:r>
    </w:p>
    <w:p>
      <w:pPr>
        <w:pStyle w:val="Heading2"/>
        <w:spacing w:after="100" w:before="220"/>
      </w:pPr>
      <w:r>
        <w:rPr>
          <w:b/>
          <w:bCs/>
          <w:color w:val="c8a46b"/>
          <w:sz w:val="22"/>
          <w:szCs w:val="22"/>
        </w:rPr>
        <w:t xml:space="preserve">1.5 Smart contracts (contratos inteligentes)</w:t>
      </w:r>
    </w:p>
    <w:p>
      <w:pPr>
        <w:spacing w:after="120"/>
      </w:pPr>
      <w:r>
        <w:rPr>
          <w:color w:val="222222"/>
          <w:sz w:val="21"/>
          <w:szCs w:val="21"/>
        </w:rPr>
        <w:t xml:space="preserve">Son programas que se ejecutan automáticamente sobre la blockchain cuando se cumplen determinadas condiciones (por ejemplo, distribuir un pago de rendimientos a todos los titulares del token en una fecha concreta). No sustituyen al contrato legal del bono, sino que automatizan la ejecución de algunas de sus condiciones y aportan transparencia verificable sobre lo ejecutado.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1</w:t>
      </w:r>
    </w:p>
    <w:p>
      <w:pPr>
        <w:spacing w:after="20" w:before="100"/>
      </w:pPr>
      <w:r>
        <w:rPr>
          <w:b/>
          <w:bCs/>
          <w:color w:val="0f2f4a"/>
          <w:sz w:val="20"/>
          <w:szCs w:val="20"/>
        </w:rPr>
        <w:t xml:space="preserve">1. </w:t>
      </w:r>
      <w:r>
        <w:rPr>
          <w:color w:val="222222"/>
          <w:sz w:val="20"/>
          <w:szCs w:val="20"/>
        </w:rPr>
        <w:t xml:space="preserve">¿Qué diferencia principal hay entre Bitcoin y un token como el de Las Laderas del Pinillo?</w:t>
      </w:r>
    </w:p>
    <w:p>
      <w:pPr>
        <w:spacing w:after="100"/>
      </w:pPr>
      <w:r>
        <w:rPr>
          <w:b/>
          <w:bCs/>
          <w:i/>
          <w:iCs/>
          <w:color w:val="555555"/>
          <w:sz w:val="19"/>
          <w:szCs w:val="19"/>
        </w:rPr>
        <w:t xml:space="preserve">Respuesta: </w:t>
      </w:r>
      <w:r>
        <w:rPr>
          <w:i/>
          <w:iCs/>
          <w:color w:val="444444"/>
          <w:sz w:val="19"/>
          <w:szCs w:val="19"/>
        </w:rPr>
        <w:t xml:space="preserve">Bitcoin es la unidad nativa de su propia red y no representa nada externo; el token de Las Laderas del Pinillo se construye sobre una blockchain existente y representa una fracción de un bono emitido por Toqen Kâpital, S.A.</w:t>
      </w:r>
    </w:p>
    <w:p>
      <w:pPr>
        <w:spacing w:after="20" w:before="100"/>
      </w:pPr>
      <w:r>
        <w:rPr>
          <w:b/>
          <w:bCs/>
          <w:color w:val="0f2f4a"/>
          <w:sz w:val="20"/>
          <w:szCs w:val="20"/>
        </w:rPr>
        <w:t xml:space="preserve">2. </w:t>
      </w:r>
      <w:r>
        <w:rPr>
          <w:color w:val="222222"/>
          <w:sz w:val="20"/>
          <w:szCs w:val="20"/>
        </w:rPr>
        <w:t xml:space="preserve">¿Qué ocurre si un inversor en autocustodia pierde su clave privada?</w:t>
      </w:r>
    </w:p>
    <w:p>
      <w:pPr>
        <w:spacing w:after="100"/>
      </w:pPr>
      <w:r>
        <w:rPr>
          <w:b/>
          <w:bCs/>
          <w:i/>
          <w:iCs/>
          <w:color w:val="555555"/>
          <w:sz w:val="19"/>
          <w:szCs w:val="19"/>
        </w:rPr>
        <w:t xml:space="preserve">Respuesta: </w:t>
      </w:r>
      <w:r>
        <w:rPr>
          <w:i/>
          <w:iCs/>
          <w:color w:val="444444"/>
          <w:sz w:val="19"/>
          <w:szCs w:val="19"/>
        </w:rPr>
        <w:t xml:space="preserve">Pierde, en principio, el acceso a su token de forma irreversible, ya que la clave privada es la única prueba de titularidad reconocida por la red.</w:t>
      </w:r>
    </w:p>
    <w:p>
      <w:r>
        <w:br w:type="page"/>
      </w:r>
    </w:p>
    <w:p>
      <w:pPr>
        <w:pStyle w:val="Heading1"/>
        <w:pBdr>
          <w:bottom w:val="single" w:color="c8a46b" w:sz="6" w:space="4"/>
        </w:pBdr>
        <w:spacing w:after="160" w:before="200"/>
      </w:pPr>
      <w:r>
        <w:rPr>
          <w:b/>
          <w:bCs/>
          <w:color w:val="0f2f4a"/>
          <w:sz w:val="28"/>
          <w:szCs w:val="28"/>
        </w:rPr>
        <w:t xml:space="preserve">Módulo 2. Tokenización de activos reales (RWA) y el sector inmobiliario</w:t>
      </w:r>
    </w:p>
    <w:p>
      <w:pPr>
        <w:pStyle w:val="Heading2"/>
        <w:spacing w:after="100" w:before="220"/>
      </w:pPr>
      <w:r>
        <w:rPr>
          <w:b/>
          <w:bCs/>
          <w:color w:val="c8a46b"/>
          <w:sz w:val="22"/>
          <w:szCs w:val="22"/>
        </w:rPr>
        <w:t xml:space="preserve">2.1 ¿Qué significa 'tokenizar' un activo?</w:t>
      </w:r>
    </w:p>
    <w:p>
      <w:pPr>
        <w:spacing w:after="120"/>
      </w:pPr>
      <w:r>
        <w:rPr>
          <w:color w:val="222222"/>
          <w:sz w:val="21"/>
          <w:szCs w:val="21"/>
        </w:rPr>
        <w:t xml:space="preserve">Tokenizar consiste en representar digitalmente, mediante un token, la titularidad de un derecho económico sobre un activo del mundo real (Real World Asset, RWA): un inmueble, una participación en un préstamo, una obra de arte, etc. El activo subyacente sigue existiendo fuera de la blockchain (en el caso inmobiliario, el inmueble sigue inscrito en el Registro de la Propiedad); lo que se digitaliza es el derecho económico y su transmisibilidad.</w:t>
      </w:r>
    </w:p>
    <w:p>
      <w:pPr>
        <w:pStyle w:val="Heading2"/>
        <w:spacing w:after="100" w:before="220"/>
      </w:pPr>
      <w:r>
        <w:rPr>
          <w:b/>
          <w:bCs/>
          <w:color w:val="c8a46b"/>
          <w:sz w:val="22"/>
          <w:szCs w:val="22"/>
        </w:rPr>
        <w:t xml:space="preserve">2.2 ¿Por qué tokenizar inmuebles en lugar de vender participaciones tradicionales?</w:t>
      </w:r>
    </w:p>
    <w:p>
      <w:pPr>
        <w:pStyle w:val="ListParagraph"/>
        <w:numPr>
          <w:ilvl w:val="0"/>
          <w:numId w:val="2"/>
        </w:numPr>
        <w:spacing w:after="60"/>
      </w:pPr>
      <w:r>
        <w:rPr>
          <w:color w:val="222222"/>
          <w:sz w:val="21"/>
          <w:szCs w:val="21"/>
        </w:rPr>
        <w:t xml:space="preserve">Fracciona una inversión de importe elevado (un desarrollo inmobiliario) en unidades accesibles para un mayor número de inversores.</w:t>
      </w:r>
    </w:p>
    <w:p>
      <w:pPr>
        <w:pStyle w:val="ListParagraph"/>
        <w:numPr>
          <w:ilvl w:val="0"/>
          <w:numId w:val="2"/>
        </w:numPr>
        <w:spacing w:after="60"/>
      </w:pPr>
      <w:r>
        <w:rPr>
          <w:color w:val="222222"/>
          <w:sz w:val="21"/>
          <w:szCs w:val="21"/>
        </w:rPr>
        <w:t xml:space="preserve">Permite una potencial mayor liquidez frente a la inversión inmobiliaria directa, mediante mercado secundario entre inversores verificados.</w:t>
      </w:r>
    </w:p>
    <w:p>
      <w:pPr>
        <w:pStyle w:val="ListParagraph"/>
        <w:numPr>
          <w:ilvl w:val="0"/>
          <w:numId w:val="2"/>
        </w:numPr>
        <w:spacing w:after="60"/>
      </w:pPr>
      <w:r>
        <w:rPr>
          <w:color w:val="222222"/>
          <w:sz w:val="21"/>
          <w:szCs w:val="21"/>
        </w:rPr>
        <w:t xml:space="preserve">Automatiza procesos administrativos (registro de titulares, distribución de pagos) reduciendo fricciones operativas.</w:t>
      </w:r>
    </w:p>
    <w:p>
      <w:pPr>
        <w:pStyle w:val="ListParagraph"/>
        <w:numPr>
          <w:ilvl w:val="0"/>
          <w:numId w:val="2"/>
        </w:numPr>
        <w:spacing w:after="60"/>
      </w:pPr>
      <w:r>
        <w:rPr>
          <w:color w:val="222222"/>
          <w:sz w:val="21"/>
          <w:szCs w:val="21"/>
        </w:rPr>
        <w:t xml:space="preserve">Aporta transparencia verificable sobre el histórico de titularidad y de pagos.</w:t>
      </w:r>
    </w:p>
    <w:p>
      <w:pPr>
        <w:pStyle w:val="Heading2"/>
        <w:spacing w:after="100" w:before="220"/>
      </w:pPr>
      <w:r>
        <w:rPr>
          <w:b/>
          <w:bCs/>
          <w:color w:val="c8a46b"/>
          <w:sz w:val="22"/>
          <w:szCs w:val="22"/>
        </w:rPr>
        <w:t xml:space="preserve">2.3 Lo que la tokenización NO cambia</w:t>
      </w:r>
    </w:p>
    <w:p>
      <w:pPr>
        <w:spacing w:after="120"/>
      </w:pPr>
      <w:r>
        <w:rPr>
          <w:color w:val="222222"/>
          <w:sz w:val="21"/>
          <w:szCs w:val="21"/>
        </w:rPr>
        <w:t xml:space="preserve">La tokenización no elimina los riesgos propios de la inversión inmobiliaria (mercado, ejecución, urbanístico) ni convierte la inversión en algo garantizado. Tampoco convierte automáticamente al inversor en propietario directo del inmueble: en el modelo de Toqen Kâpital, el inversor es titular de una fracción de un bono con garantía hipotecaria emitido por Toqen Kâpital, S.A., no del inmueble en sí.</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2</w:t>
      </w:r>
    </w:p>
    <w:p>
      <w:pPr>
        <w:spacing w:after="20" w:before="100"/>
      </w:pPr>
      <w:r>
        <w:rPr>
          <w:b/>
          <w:bCs/>
          <w:color w:val="0f2f4a"/>
          <w:sz w:val="20"/>
          <w:szCs w:val="20"/>
        </w:rPr>
        <w:t xml:space="preserve">1. </w:t>
      </w:r>
      <w:r>
        <w:rPr>
          <w:color w:val="222222"/>
          <w:sz w:val="20"/>
          <w:szCs w:val="20"/>
        </w:rPr>
        <w:t xml:space="preserve">¿Qué es un RWA (Real World Asset)?</w:t>
      </w:r>
    </w:p>
    <w:p>
      <w:pPr>
        <w:spacing w:after="100"/>
      </w:pPr>
      <w:r>
        <w:rPr>
          <w:b/>
          <w:bCs/>
          <w:i/>
          <w:iCs/>
          <w:color w:val="555555"/>
          <w:sz w:val="19"/>
          <w:szCs w:val="19"/>
        </w:rPr>
        <w:t xml:space="preserve">Respuesta: </w:t>
      </w:r>
      <w:r>
        <w:rPr>
          <w:i/>
          <w:iCs/>
          <w:color w:val="444444"/>
          <w:sz w:val="19"/>
          <w:szCs w:val="19"/>
        </w:rPr>
        <w:t xml:space="preserve">Un activo del mundo real —como un inmueble— cuyo derecho económico se representa digitalmente mediante un token, sin que el activo físico deje de existir fuera de la blockchain.</w:t>
      </w:r>
    </w:p>
    <w:p>
      <w:pPr>
        <w:spacing w:after="20" w:before="100"/>
      </w:pPr>
      <w:r>
        <w:rPr>
          <w:b/>
          <w:bCs/>
          <w:color w:val="0f2f4a"/>
          <w:sz w:val="20"/>
          <w:szCs w:val="20"/>
        </w:rPr>
        <w:t xml:space="preserve">2. </w:t>
      </w:r>
      <w:r>
        <w:rPr>
          <w:color w:val="222222"/>
          <w:sz w:val="20"/>
          <w:szCs w:val="20"/>
        </w:rPr>
        <w:t xml:space="preserve">¿Convierte la tokenización al inversor en propietario directo del inmueble?</w:t>
      </w:r>
    </w:p>
    <w:p>
      <w:pPr>
        <w:spacing w:after="100"/>
      </w:pPr>
      <w:r>
        <w:rPr>
          <w:b/>
          <w:bCs/>
          <w:i/>
          <w:iCs/>
          <w:color w:val="555555"/>
          <w:sz w:val="19"/>
          <w:szCs w:val="19"/>
        </w:rPr>
        <w:t xml:space="preserve">Respuesta: </w:t>
      </w:r>
      <w:r>
        <w:rPr>
          <w:i/>
          <w:iCs/>
          <w:color w:val="444444"/>
          <w:sz w:val="19"/>
          <w:szCs w:val="19"/>
        </w:rPr>
        <w:t xml:space="preserve">No necesariamente. En el modelo de Las Laderas del Pinillo, el inversor es titular de una fracción de un bono emitido por Toqen Kâpital, S.A., no del inmueble.</w:t>
      </w:r>
    </w:p>
    <w:p>
      <w:r>
        <w:br w:type="page"/>
      </w:r>
    </w:p>
    <w:p>
      <w:pPr>
        <w:pStyle w:val="Heading1"/>
        <w:pBdr>
          <w:bottom w:val="single" w:color="c8a46b" w:sz="6" w:space="4"/>
        </w:pBdr>
        <w:spacing w:after="160" w:before="200"/>
      </w:pPr>
      <w:r>
        <w:rPr>
          <w:b/>
          <w:bCs/>
          <w:color w:val="0f2f4a"/>
          <w:sz w:val="28"/>
          <w:szCs w:val="28"/>
        </w:rPr>
        <w:t xml:space="preserve">Módulo 3. Marco regulatorio: LMV, CNMV y el papel del ERIR</w:t>
      </w:r>
    </w:p>
    <w:p>
      <w:pPr>
        <w:pStyle w:val="Heading2"/>
        <w:spacing w:after="100" w:before="220"/>
      </w:pPr>
      <w:r>
        <w:rPr>
          <w:b/>
          <w:bCs/>
          <w:color w:val="c8a46b"/>
          <w:sz w:val="22"/>
          <w:szCs w:val="22"/>
        </w:rPr>
        <w:t xml:space="preserve">3.1 ¿Por qué este bono no se rige por MiCA?</w:t>
      </w:r>
    </w:p>
    <w:p>
      <w:pPr>
        <w:spacing w:after="120"/>
      </w:pPr>
      <w:r>
        <w:rPr>
          <w:color w:val="222222"/>
          <w:sz w:val="21"/>
          <w:szCs w:val="21"/>
        </w:rPr>
        <w:t xml:space="preserve">MiCA (Markets in Crypto-Assets) es el Reglamento europeo que armoniza la regulación de los criptoactivos en toda la Unión Europea. Los bonos tokenizados de Toqen Kâpital son instrumentos de deuda tradicionales: la tecnología blockchain solo cambia el soporte del registro de titularidad y su transmisión, no la naturaleza jurídica del bono. Por ello, quedan fuera del ámbito de MiCA y se rigen por el marco normativo español aplicable a la emisión de valores.</w:t>
      </w:r>
    </w:p>
    <w:p>
      <w:pPr>
        <w:pStyle w:val="Heading2"/>
        <w:spacing w:after="100" w:before="220"/>
      </w:pPr>
      <w:r>
        <w:rPr>
          <w:b/>
          <w:bCs/>
          <w:color w:val="c8a46b"/>
          <w:sz w:val="22"/>
          <w:szCs w:val="22"/>
        </w:rPr>
        <w:t xml:space="preserve">3.2 La Ley del Mercado de Valores (LMV)</w:t>
      </w:r>
    </w:p>
    <w:p>
      <w:pPr>
        <w:spacing w:after="120"/>
      </w:pPr>
      <w:r>
        <w:rPr>
          <w:color w:val="222222"/>
          <w:sz w:val="21"/>
          <w:szCs w:val="21"/>
        </w:rPr>
        <w:t xml:space="preserve">La LMV española puede aplicar al bono en la medida en que se califica como instrumento financiero. Como sociedad anónima, Toqen Kâpital, S.A. está sujeta a requisitos de gobernanza y transparencia más exigentes que otras estructuras de tokenización, y la emisión cuenta con un sindicato de obligacionistas con un comisario independiente, que representa y defiende colectivamente los intereses de los inversores frente al emisor durante toda la vida de la emisión.</w:t>
      </w:r>
    </w:p>
    <w:p>
      <w:pPr>
        <w:pStyle w:val="Heading2"/>
        <w:spacing w:after="100" w:before="220"/>
      </w:pPr>
      <w:r>
        <w:rPr>
          <w:b/>
          <w:bCs/>
          <w:color w:val="c8a46b"/>
          <w:sz w:val="22"/>
          <w:szCs w:val="22"/>
        </w:rPr>
        <w:t xml:space="preserve">3.3 El papel de la CNMV y el ERIR</w:t>
      </w:r>
    </w:p>
    <w:p>
      <w:pPr>
        <w:spacing w:after="120"/>
      </w:pPr>
      <w:r>
        <w:rPr>
          <w:color w:val="222222"/>
          <w:sz w:val="21"/>
          <w:szCs w:val="21"/>
        </w:rPr>
        <w:t xml:space="preserve">La Comisión Nacional del Mercado de Valores es el supervisor español de los mercados de valores. La emisión se registra a través de un ERIR (Entidad de Registro) autorizado por la CNMV, que aporta trazabilidad a la titularidad de los tokens y deberá autorizar, en su caso, el futuro mercado secundario.</w:t>
      </w:r>
    </w:p>
    <w:p>
      <w:pPr>
        <w:pStyle w:val="Heading2"/>
        <w:spacing w:after="100" w:before="220"/>
      </w:pPr>
      <w:r>
        <w:rPr>
          <w:b/>
          <w:bCs/>
          <w:color w:val="c8a46b"/>
          <w:sz w:val="22"/>
          <w:szCs w:val="22"/>
        </w:rPr>
        <w:t xml:space="preserve">3.4 ¿Qué garantiza la regulación al inversor?</w:t>
      </w:r>
    </w:p>
    <w:p>
      <w:pPr>
        <w:pStyle w:val="ListParagraph"/>
        <w:numPr>
          <w:ilvl w:val="0"/>
          <w:numId w:val="2"/>
        </w:numPr>
        <w:spacing w:after="60"/>
      </w:pPr>
      <w:r>
        <w:rPr>
          <w:color w:val="222222"/>
          <w:sz w:val="21"/>
          <w:szCs w:val="21"/>
        </w:rPr>
        <w:t xml:space="preserve">Requisitos de información previa clara, veraz y no engañosa sobre el proyecto y sus riesgos.</w:t>
      </w:r>
    </w:p>
    <w:p>
      <w:pPr>
        <w:pStyle w:val="ListParagraph"/>
        <w:numPr>
          <w:ilvl w:val="0"/>
          <w:numId w:val="2"/>
        </w:numPr>
        <w:spacing w:after="60"/>
      </w:pPr>
      <w:r>
        <w:rPr>
          <w:color w:val="222222"/>
          <w:sz w:val="21"/>
          <w:szCs w:val="21"/>
        </w:rPr>
        <w:t xml:space="preserve">Obligaciones de gobernanza y solvencia para el emisor y los proveedores de custodia.</w:t>
      </w:r>
    </w:p>
    <w:p>
      <w:pPr>
        <w:pStyle w:val="ListParagraph"/>
        <w:numPr>
          <w:ilvl w:val="0"/>
          <w:numId w:val="2"/>
        </w:numPr>
        <w:spacing w:after="60"/>
      </w:pPr>
      <w:r>
        <w:rPr>
          <w:color w:val="222222"/>
          <w:sz w:val="21"/>
          <w:szCs w:val="21"/>
        </w:rPr>
        <w:t xml:space="preserve">Mecanismos de supervisión por parte de la autoridad competente.</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La regulación reduce ciertos riesgos de fraude y opacidad, pero no elimina el riesgo de mercado ni garantiza el éxito del proyecto ni el retorno de la inversión.</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3</w:t>
      </w:r>
    </w:p>
    <w:p>
      <w:pPr>
        <w:spacing w:after="20" w:before="100"/>
      </w:pPr>
      <w:r>
        <w:rPr>
          <w:b/>
          <w:bCs/>
          <w:color w:val="0f2f4a"/>
          <w:sz w:val="20"/>
          <w:szCs w:val="20"/>
        </w:rPr>
        <w:t xml:space="preserve">1. </w:t>
      </w:r>
      <w:r>
        <w:rPr>
          <w:color w:val="222222"/>
          <w:sz w:val="20"/>
          <w:szCs w:val="20"/>
        </w:rPr>
        <w:t xml:space="preserve">¿Por qué el bono de Toqen Kâpital no se rige por MiCA?</w:t>
      </w:r>
    </w:p>
    <w:p>
      <w:pPr>
        <w:spacing w:after="100"/>
      </w:pPr>
      <w:r>
        <w:rPr>
          <w:b/>
          <w:bCs/>
          <w:i/>
          <w:iCs/>
          <w:color w:val="555555"/>
          <w:sz w:val="19"/>
          <w:szCs w:val="19"/>
        </w:rPr>
        <w:t xml:space="preserve">Respuesta: </w:t>
      </w:r>
      <w:r>
        <w:rPr>
          <w:i/>
          <w:iCs/>
          <w:color w:val="444444"/>
          <w:sz w:val="19"/>
          <w:szCs w:val="19"/>
        </w:rPr>
        <w:t xml:space="preserve">Porque es un instrumento de deuda tradicional: la blockchain solo cambia el soporte del registro de titularidad, no la naturaleza jurídica del bono, por lo que MiCA no resulta de aplicación.</w:t>
      </w:r>
    </w:p>
    <w:p>
      <w:pPr>
        <w:spacing w:after="20" w:before="100"/>
      </w:pPr>
      <w:r>
        <w:rPr>
          <w:b/>
          <w:bCs/>
          <w:color w:val="0f2f4a"/>
          <w:sz w:val="20"/>
          <w:szCs w:val="20"/>
        </w:rPr>
        <w:t xml:space="preserve">2. </w:t>
      </w:r>
      <w:r>
        <w:rPr>
          <w:color w:val="222222"/>
          <w:sz w:val="20"/>
          <w:szCs w:val="20"/>
        </w:rPr>
        <w:t xml:space="preserve">¿Elimina la regulación el riesgo de perder dinero en la inversión?</w:t>
      </w:r>
    </w:p>
    <w:p>
      <w:pPr>
        <w:spacing w:after="100"/>
      </w:pPr>
      <w:r>
        <w:rPr>
          <w:b/>
          <w:bCs/>
          <w:i/>
          <w:iCs/>
          <w:color w:val="555555"/>
          <w:sz w:val="19"/>
          <w:szCs w:val="19"/>
        </w:rPr>
        <w:t xml:space="preserve">Respuesta: </w:t>
      </w:r>
      <w:r>
        <w:rPr>
          <w:i/>
          <w:iCs/>
          <w:color w:val="444444"/>
          <w:sz w:val="19"/>
          <w:szCs w:val="19"/>
        </w:rPr>
        <w:t xml:space="preserve">No. La regulación aporta transparencia y supervisión, pero no garantiza el retorno ni elimina el riesgo de mercado o de ejecución del proyecto.</w:t>
      </w:r>
    </w:p>
    <w:p>
      <w:r>
        <w:br w:type="page"/>
      </w:r>
    </w:p>
    <w:p>
      <w:pPr>
        <w:pStyle w:val="Heading1"/>
        <w:pBdr>
          <w:bottom w:val="single" w:color="c8a46b" w:sz="6" w:space="4"/>
        </w:pBdr>
        <w:spacing w:after="160" w:before="200"/>
      </w:pPr>
      <w:r>
        <w:rPr>
          <w:b/>
          <w:bCs/>
          <w:color w:val="0f2f4a"/>
          <w:sz w:val="28"/>
          <w:szCs w:val="28"/>
        </w:rPr>
        <w:t xml:space="preserve">Módulo 4. El modelo Toqen Kâpital: bono con garantía hipotecaria</w:t>
      </w:r>
    </w:p>
    <w:p>
      <w:pPr>
        <w:pStyle w:val="Heading2"/>
        <w:spacing w:after="100" w:before="220"/>
      </w:pPr>
      <w:r>
        <w:rPr>
          <w:b/>
          <w:bCs/>
          <w:color w:val="c8a46b"/>
          <w:sz w:val="22"/>
          <w:szCs w:val="22"/>
        </w:rPr>
        <w:t xml:space="preserve">4.1 Estructura general</w:t>
      </w:r>
    </w:p>
    <w:p>
      <w:pPr>
        <w:spacing w:after="120"/>
      </w:pPr>
      <w:r>
        <w:rPr>
          <w:color w:val="222222"/>
          <w:sz w:val="21"/>
          <w:szCs w:val="21"/>
        </w:rPr>
        <w:t xml:space="preserve">Toqen Kâpital, S.A. actúa como emisor directo de los bonos tokenizados. Cada proyecto inmobiliario (como Las Laderas del Pinillo en Torremolinos) se ejecuta a través de una SPV promotora de nueva creación —en este caso, Las Laderas del Pinillo, S.L.—, vinculada al Grupo Azabache. Los fondos captados de los inversores financian el proyecto, y Toqen Kâpital, S.A. asume como emisor la obligación de devolver el capital invertido y abonar los intereses pactados.</w:t>
      </w:r>
    </w:p>
    <w:p>
      <w:pPr>
        <w:pStyle w:val="Heading2"/>
        <w:spacing w:after="100" w:before="220"/>
      </w:pPr>
      <w:r>
        <w:rPr>
          <w:b/>
          <w:bCs/>
          <w:color w:val="c8a46b"/>
          <w:sz w:val="22"/>
          <w:szCs w:val="22"/>
        </w:rPr>
        <w:t xml:space="preserve">4.2 ¿Qué protege al inversor frente al emisor?</w:t>
      </w:r>
    </w:p>
    <w:p>
      <w:pPr>
        <w:pStyle w:val="ListParagraph"/>
        <w:numPr>
          <w:ilvl w:val="0"/>
          <w:numId w:val="2"/>
        </w:numPr>
        <w:spacing w:after="60"/>
      </w:pPr>
      <w:r>
        <w:rPr>
          <w:color w:val="222222"/>
          <w:sz w:val="21"/>
          <w:szCs w:val="21"/>
        </w:rPr>
        <w:t xml:space="preserve">Un sindicato de obligacionistas con comisario independiente defiende a los inversores frente al emisor durante toda la vida de la emisión.</w:t>
      </w:r>
    </w:p>
    <w:p>
      <w:pPr>
        <w:pStyle w:val="ListParagraph"/>
        <w:numPr>
          <w:ilvl w:val="0"/>
          <w:numId w:val="2"/>
        </w:numPr>
        <w:spacing w:after="60"/>
      </w:pPr>
      <w:r>
        <w:rPr>
          <w:color w:val="222222"/>
          <w:sz w:val="21"/>
          <w:szCs w:val="21"/>
        </w:rPr>
        <w:t xml:space="preserve">El bono cuenta con garantía hipotecaria sobre el proyecto financiado.</w:t>
      </w:r>
    </w:p>
    <w:p>
      <w:pPr>
        <w:pStyle w:val="ListParagraph"/>
        <w:numPr>
          <w:ilvl w:val="0"/>
          <w:numId w:val="2"/>
        </w:numPr>
        <w:spacing w:after="60"/>
      </w:pPr>
      <w:r>
        <w:rPr>
          <w:color w:val="222222"/>
          <w:sz w:val="21"/>
          <w:szCs w:val="21"/>
        </w:rPr>
        <w:t xml:space="preserve">La emisión se registra a través de un ERIR autorizado por la CNMV, con la trazabilidad correspondiente en todo momento.</w:t>
      </w:r>
    </w:p>
    <w:p>
      <w:pPr>
        <w:pStyle w:val="Heading2"/>
        <w:spacing w:after="100" w:before="220"/>
      </w:pPr>
      <w:r>
        <w:rPr>
          <w:b/>
          <w:bCs/>
          <w:color w:val="c8a46b"/>
          <w:sz w:val="22"/>
          <w:szCs w:val="22"/>
        </w:rPr>
        <w:t xml:space="preserve">4.3 El bono como instrumento</w:t>
      </w:r>
    </w:p>
    <w:p>
      <w:pPr>
        <w:spacing w:after="120"/>
      </w:pPr>
      <w:r>
        <w:rPr>
          <w:color w:val="222222"/>
          <w:sz w:val="21"/>
          <w:szCs w:val="21"/>
        </w:rPr>
        <w:t xml:space="preserve">Se trata de un instrumento de deuda emitido por Toqen Kâpital, S.A., con garantía hipotecaria sobre el proyecto financiado. A diferencia de una acción, no otorga derechos políticos ni de propiedad sobre el emisor; su remuneración y plazo se fijan en las condiciones de cada emisión.</w:t>
      </w:r>
    </w:p>
    <w:p>
      <w:pPr>
        <w:pStyle w:val="Heading2"/>
        <w:spacing w:after="100" w:before="220"/>
      </w:pPr>
      <w:r>
        <w:rPr>
          <w:b/>
          <w:bCs/>
          <w:color w:val="c8a46b"/>
          <w:sz w:val="22"/>
          <w:szCs w:val="22"/>
        </w:rPr>
        <w:t xml:space="preserve">4.4 El papel de cada socio en Las Laderas del Pinillo</w:t>
      </w:r>
    </w:p>
    <w:p>
      <w:pPr>
        <w:pStyle w:val="ListParagraph"/>
        <w:numPr>
          <w:ilvl w:val="0"/>
          <w:numId w:val="2"/>
        </w:numPr>
        <w:spacing w:after="60"/>
      </w:pPr>
      <w:r>
        <w:rPr>
          <w:color w:val="222222"/>
          <w:sz w:val="21"/>
          <w:szCs w:val="21"/>
        </w:rPr>
        <w:t xml:space="preserve">Toqen Kâpital: estructuración, tecnología, cumplimiento normativo y relación con el inversor.</w:t>
      </w:r>
    </w:p>
    <w:p>
      <w:pPr>
        <w:pStyle w:val="ListParagraph"/>
        <w:numPr>
          <w:ilvl w:val="0"/>
          <w:numId w:val="2"/>
        </w:numPr>
        <w:spacing w:after="60"/>
      </w:pPr>
      <w:r>
        <w:rPr>
          <w:color w:val="222222"/>
          <w:sz w:val="21"/>
          <w:szCs w:val="21"/>
        </w:rPr>
        <w:t xml:space="preserve">SPV promotora (Las Laderas del Pinillo, S.L.): sociedad de nueva creación que ejecuta el proyecto.</w:t>
      </w:r>
    </w:p>
    <w:p>
      <w:pPr>
        <w:pStyle w:val="ListParagraph"/>
        <w:numPr>
          <w:ilvl w:val="0"/>
          <w:numId w:val="2"/>
        </w:numPr>
        <w:spacing w:after="60"/>
      </w:pPr>
      <w:r>
        <w:rPr>
          <w:color w:val="222222"/>
          <w:sz w:val="21"/>
          <w:szCs w:val="21"/>
        </w:rPr>
        <w:t xml:space="preserve">Grupo Azabache: grupo promotor vinculado a la SPV, con trayectoria desde 1957; aporta el track record y el conocimiento del mercado local.</w:t>
      </w:r>
    </w:p>
    <w:p>
      <w:pPr>
        <w:pStyle w:val="ListParagraph"/>
        <w:numPr>
          <w:ilvl w:val="0"/>
          <w:numId w:val="2"/>
        </w:numPr>
        <w:spacing w:after="60"/>
      </w:pPr>
      <w:r>
        <w:rPr>
          <w:color w:val="222222"/>
          <w:sz w:val="21"/>
          <w:szCs w:val="21"/>
        </w:rPr>
        <w:t xml:space="preserve">Entidad financiera: financiación bancaria complementaria del proyecto.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4</w:t>
      </w:r>
    </w:p>
    <w:p>
      <w:pPr>
        <w:spacing w:after="20" w:before="100"/>
      </w:pPr>
      <w:r>
        <w:rPr>
          <w:b/>
          <w:bCs/>
          <w:color w:val="0f2f4a"/>
          <w:sz w:val="20"/>
          <w:szCs w:val="20"/>
        </w:rPr>
        <w:t xml:space="preserve">1. </w:t>
      </w:r>
      <w:r>
        <w:rPr>
          <w:color w:val="222222"/>
          <w:sz w:val="20"/>
          <w:szCs w:val="20"/>
        </w:rPr>
        <w:t xml:space="preserve">¿Qué función cumple la SPV en la estructura?</w:t>
      </w:r>
    </w:p>
    <w:p>
      <w:pPr>
        <w:spacing w:after="100"/>
      </w:pPr>
      <w:r>
        <w:rPr>
          <w:b/>
          <w:bCs/>
          <w:i/>
          <w:iCs/>
          <w:color w:val="555555"/>
          <w:sz w:val="19"/>
          <w:szCs w:val="19"/>
        </w:rPr>
        <w:t xml:space="preserve">Respuesta: </w:t>
      </w:r>
      <w:r>
        <w:rPr>
          <w:i/>
          <w:iCs/>
          <w:color w:val="444444"/>
          <w:sz w:val="19"/>
          <w:szCs w:val="19"/>
        </w:rPr>
        <w:t xml:space="preserve">La SPV promotora (Las Laderas del Pinillo, S.L.) ejecuta el proyecto. Toqen Kâpital, S.A. es quien emite el bono, capta la financiación de los inversores y asume la obligación de repago.</w:t>
      </w:r>
    </w:p>
    <w:p>
      <w:pPr>
        <w:spacing w:after="20" w:before="100"/>
      </w:pPr>
      <w:r>
        <w:rPr>
          <w:b/>
          <w:bCs/>
          <w:color w:val="0f2f4a"/>
          <w:sz w:val="20"/>
          <w:szCs w:val="20"/>
        </w:rPr>
        <w:t xml:space="preserve">2. </w:t>
      </w:r>
      <w:r>
        <w:rPr>
          <w:color w:val="222222"/>
          <w:sz w:val="20"/>
          <w:szCs w:val="20"/>
        </w:rPr>
        <w:t xml:space="preserve">¿Otorga el bono derechos políticos sobre el emisor, como una acción?</w:t>
      </w:r>
    </w:p>
    <w:p>
      <w:pPr>
        <w:spacing w:after="100"/>
      </w:pPr>
      <w:r>
        <w:rPr>
          <w:b/>
          <w:bCs/>
          <w:i/>
          <w:iCs/>
          <w:color w:val="555555"/>
          <w:sz w:val="19"/>
          <w:szCs w:val="19"/>
        </w:rPr>
        <w:t xml:space="preserve">Respuesta: </w:t>
      </w:r>
      <w:r>
        <w:rPr>
          <w:i/>
          <w:iCs/>
          <w:color w:val="444444"/>
          <w:sz w:val="19"/>
          <w:szCs w:val="19"/>
        </w:rPr>
        <w:t xml:space="preserve">No. Es un derecho de crédito, no un derecho de propiedad ni de voto.</w:t>
      </w:r>
    </w:p>
    <w:p>
      <w:r>
        <w:br w:type="page"/>
      </w:r>
    </w:p>
    <w:p>
      <w:pPr>
        <w:pStyle w:val="Heading1"/>
        <w:pBdr>
          <w:bottom w:val="single" w:color="c8a46b" w:sz="6" w:space="4"/>
        </w:pBdr>
        <w:spacing w:after="160" w:before="200"/>
      </w:pPr>
      <w:r>
        <w:rPr>
          <w:b/>
          <w:bCs/>
          <w:color w:val="0f2f4a"/>
          <w:sz w:val="28"/>
          <w:szCs w:val="28"/>
        </w:rPr>
        <w:t xml:space="preserve">Módulo 5. Las Laderas del Pinillo en detalle</w:t>
      </w:r>
    </w:p>
    <w:p>
      <w:pPr>
        <w:pStyle w:val="Heading2"/>
        <w:spacing w:after="100" w:before="220"/>
      </w:pPr>
      <w:r>
        <w:rPr>
          <w:b/>
          <w:bCs/>
          <w:color w:val="c8a46b"/>
          <w:sz w:val="22"/>
          <w:szCs w:val="22"/>
        </w:rPr>
        <w:t xml:space="preserve">5.1 Ficha resumen del instrumento</w:t>
      </w:r>
    </w:p>
    <w:p>
      <w:pPr>
        <w:spacing w:after="120"/>
      </w:pPr>
      <w:r>
        <w:rPr>
          <w:color w:val="222222"/>
          <w:sz w:val="21"/>
          <w:szCs w:val="21"/>
        </w:rPr>
        <w:t xml:space="preserve">El token representa una fracción de 1.000 € nominales de un bono con garantía hipotecaria emitido por Toqen Kâpital, S.A. para financiar el proyecto Las Laderas del Pinillo, en Torremolinos (Málaga): 179 viviendas sobre 11.204 m² de suelo y 26.462,42 m² edificables, con una inversión total estimada de 70,78 M€. La remuneración objetivo es del 11% TAE de pago anual, con un horizonte de inversión de 18 a 24 meses.</w:t>
      </w:r>
    </w:p>
    <w:p>
      <w:pPr>
        <w:pStyle w:val="Heading2"/>
        <w:spacing w:after="100" w:before="220"/>
      </w:pPr>
      <w:r>
        <w:rPr>
          <w:b/>
          <w:bCs/>
          <w:color w:val="c8a46b"/>
          <w:sz w:val="22"/>
          <w:szCs w:val="22"/>
        </w:rPr>
        <w:t xml:space="preserve">5.2 Elementos clave a revisar antes de invertir</w:t>
      </w:r>
    </w:p>
    <w:p>
      <w:pPr>
        <w:pStyle w:val="ListParagraph"/>
        <w:numPr>
          <w:ilvl w:val="0"/>
          <w:numId w:val="3"/>
        </w:numPr>
        <w:spacing w:after="60"/>
      </w:pPr>
      <w:r>
        <w:rPr>
          <w:color w:val="222222"/>
          <w:sz w:val="21"/>
          <w:szCs w:val="21"/>
        </w:rPr>
        <w:t xml:space="preserve">El importe nominal por token y el mínimo de inversión exigido.</w:t>
      </w:r>
    </w:p>
    <w:p>
      <w:pPr>
        <w:pStyle w:val="ListParagraph"/>
        <w:numPr>
          <w:ilvl w:val="0"/>
          <w:numId w:val="3"/>
        </w:numPr>
        <w:spacing w:after="60"/>
      </w:pPr>
      <w:r>
        <w:rPr>
          <w:color w:val="222222"/>
          <w:sz w:val="21"/>
          <w:szCs w:val="21"/>
        </w:rPr>
        <w:t xml:space="preserve">La periodicidad y condiciones exactas de pago de la remuneración (fija/variable).</w:t>
      </w:r>
    </w:p>
    <w:p>
      <w:pPr>
        <w:pStyle w:val="ListParagraph"/>
        <w:numPr>
          <w:ilvl w:val="0"/>
          <w:numId w:val="3"/>
        </w:numPr>
        <w:spacing w:after="60"/>
      </w:pPr>
      <w:r>
        <w:rPr>
          <w:color w:val="222222"/>
          <w:sz w:val="21"/>
          <w:szCs w:val="21"/>
        </w:rPr>
        <w:t xml:space="preserve">El rango y alcance real de la garantía hipotecaria asociada.</w:t>
      </w:r>
    </w:p>
    <w:p>
      <w:pPr>
        <w:pStyle w:val="ListParagraph"/>
        <w:numPr>
          <w:ilvl w:val="0"/>
          <w:numId w:val="3"/>
        </w:numPr>
        <w:spacing w:after="60"/>
      </w:pPr>
      <w:r>
        <w:rPr>
          <w:color w:val="222222"/>
          <w:sz w:val="21"/>
          <w:szCs w:val="21"/>
        </w:rPr>
        <w:t xml:space="preserve">El calendario estimado del proyecto y los hitos de los que depende el repago.</w:t>
      </w:r>
    </w:p>
    <w:p>
      <w:pPr>
        <w:pStyle w:val="ListParagraph"/>
        <w:numPr>
          <w:ilvl w:val="0"/>
          <w:numId w:val="3"/>
        </w:numPr>
        <w:spacing w:after="60"/>
      </w:pPr>
      <w:r>
        <w:rPr>
          <w:color w:val="222222"/>
          <w:sz w:val="21"/>
          <w:szCs w:val="21"/>
        </w:rPr>
        <w:t xml:space="preserve">Las condiciones de transmisibilidad del token en mercado secundario.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5</w:t>
      </w:r>
    </w:p>
    <w:p>
      <w:pPr>
        <w:spacing w:after="20" w:before="100"/>
      </w:pPr>
      <w:r>
        <w:rPr>
          <w:b/>
          <w:bCs/>
          <w:color w:val="0f2f4a"/>
          <w:sz w:val="20"/>
          <w:szCs w:val="20"/>
        </w:rPr>
        <w:t xml:space="preserve">1. </w:t>
      </w:r>
      <w:r>
        <w:rPr>
          <w:color w:val="222222"/>
          <w:sz w:val="20"/>
          <w:szCs w:val="20"/>
        </w:rPr>
        <w:t xml:space="preserve">¿Qué remuneración objetivo y horizonte tiene el token de Las Laderas del Pinillo?</w:t>
      </w:r>
    </w:p>
    <w:p>
      <w:pPr>
        <w:spacing w:after="100"/>
      </w:pPr>
      <w:r>
        <w:rPr>
          <w:b/>
          <w:bCs/>
          <w:i/>
          <w:iCs/>
          <w:color w:val="555555"/>
          <w:sz w:val="19"/>
          <w:szCs w:val="19"/>
        </w:rPr>
        <w:t xml:space="preserve">Respuesta: </w:t>
      </w:r>
      <w:r>
        <w:rPr>
          <w:i/>
          <w:iCs/>
          <w:color w:val="444444"/>
          <w:sz w:val="19"/>
          <w:szCs w:val="19"/>
        </w:rPr>
        <w:t xml:space="preserve">11% TAE de pago anual, con un horizonte de inversión de 18 a 24 meses.</w:t>
      </w:r>
    </w:p>
    <w:p>
      <w:r>
        <w:br w:type="page"/>
      </w:r>
    </w:p>
    <w:p>
      <w:pPr>
        <w:pStyle w:val="Heading1"/>
        <w:pBdr>
          <w:bottom w:val="single" w:color="c8a46b" w:sz="6" w:space="4"/>
        </w:pBdr>
        <w:spacing w:after="160" w:before="200"/>
      </w:pPr>
      <w:r>
        <w:rPr>
          <w:b/>
          <w:bCs/>
          <w:color w:val="0f2f4a"/>
          <w:sz w:val="28"/>
          <w:szCs w:val="28"/>
        </w:rPr>
        <w:t xml:space="preserve">Módulo 6. Proceso de inversión paso a paso</w:t>
      </w:r>
    </w:p>
    <w:p>
      <w:pPr>
        <w:pStyle w:val="ListParagraph"/>
        <w:numPr>
          <w:ilvl w:val="0"/>
          <w:numId w:val="3"/>
        </w:numPr>
        <w:spacing w:after="60"/>
      </w:pPr>
      <w:r>
        <w:rPr>
          <w:color w:val="222222"/>
          <w:sz w:val="21"/>
          <w:szCs w:val="21"/>
        </w:rPr>
        <w:t xml:space="preserve">Registro y verificación de identidad (KYC): aportación de documento de identidad, justificante de domicilio y origen de fondos.</w:t>
      </w:r>
    </w:p>
    <w:p>
      <w:pPr>
        <w:pStyle w:val="ListParagraph"/>
        <w:numPr>
          <w:ilvl w:val="0"/>
          <w:numId w:val="3"/>
        </w:numPr>
        <w:spacing w:after="60"/>
      </w:pPr>
      <w:r>
        <w:rPr>
          <w:color w:val="222222"/>
          <w:sz w:val="21"/>
          <w:szCs w:val="21"/>
        </w:rPr>
        <w:t xml:space="preserve">Test de idoneidad/conveniencia: cuestionario sobre conocimientos y experiencia financiera, exigido por la normativa de protección al inversor.</w:t>
      </w:r>
    </w:p>
    <w:p>
      <w:pPr>
        <w:pStyle w:val="ListParagraph"/>
        <w:numPr>
          <w:ilvl w:val="0"/>
          <w:numId w:val="3"/>
        </w:numPr>
        <w:spacing w:after="60"/>
      </w:pPr>
      <w:r>
        <w:rPr>
          <w:color w:val="222222"/>
          <w:sz w:val="21"/>
          <w:szCs w:val="21"/>
        </w:rPr>
        <w:t xml:space="preserve">Apertura de wallet: elección entre autocustodia o custodia gestionada por un proveedor autorizado.</w:t>
      </w:r>
    </w:p>
    <w:p>
      <w:pPr>
        <w:pStyle w:val="ListParagraph"/>
        <w:numPr>
          <w:ilvl w:val="0"/>
          <w:numId w:val="3"/>
        </w:numPr>
        <w:spacing w:after="60"/>
      </w:pPr>
      <w:r>
        <w:rPr>
          <w:color w:val="222222"/>
          <w:sz w:val="21"/>
          <w:szCs w:val="21"/>
        </w:rPr>
        <w:t xml:space="preserve">Suscripción: firma del contrato del bono y transferencia de los fondos correspondientes.</w:t>
      </w:r>
    </w:p>
    <w:p>
      <w:pPr>
        <w:pStyle w:val="ListParagraph"/>
        <w:numPr>
          <w:ilvl w:val="0"/>
          <w:numId w:val="3"/>
        </w:numPr>
        <w:spacing w:after="60"/>
      </w:pPr>
      <w:r>
        <w:rPr>
          <w:color w:val="222222"/>
          <w:sz w:val="21"/>
          <w:szCs w:val="21"/>
        </w:rPr>
        <w:t xml:space="preserve">Emisión y recepción del token: el token que representa la participación queda registrado a nombre del inversor.</w:t>
      </w:r>
    </w:p>
    <w:p>
      <w:pPr>
        <w:pStyle w:val="ListParagraph"/>
        <w:numPr>
          <w:ilvl w:val="0"/>
          <w:numId w:val="3"/>
        </w:numPr>
        <w:spacing w:after="60"/>
      </w:pPr>
      <w:r>
        <w:rPr>
          <w:color w:val="222222"/>
          <w:sz w:val="21"/>
          <w:szCs w:val="21"/>
        </w:rPr>
        <w:t xml:space="preserve">Seguimiento: acceso a un panel o informes periódicos sobre el estado del proyecto.</w:t>
      </w:r>
    </w:p>
    <w:p>
      <w:pPr>
        <w:pStyle w:val="ListParagraph"/>
        <w:numPr>
          <w:ilvl w:val="0"/>
          <w:numId w:val="3"/>
        </w:numPr>
        <w:spacing w:after="60"/>
      </w:pPr>
      <w:r>
        <w:rPr>
          <w:color w:val="222222"/>
          <w:sz w:val="21"/>
          <w:szCs w:val="21"/>
        </w:rPr>
        <w:t xml:space="preserve">Cobro de rendimientos: abono periódico según la periodicidad pactada, con retención fiscal aplicada cuando corresponda.</w:t>
      </w:r>
    </w:p>
    <w:p>
      <w:pPr>
        <w:pStyle w:val="ListParagraph"/>
        <w:numPr>
          <w:ilvl w:val="0"/>
          <w:numId w:val="3"/>
        </w:numPr>
        <w:spacing w:after="60"/>
      </w:pPr>
      <w:r>
        <w:rPr>
          <w:color w:val="222222"/>
          <w:sz w:val="21"/>
          <w:szCs w:val="21"/>
        </w:rPr>
        <w:t xml:space="preserve">Vencimiento o venta anticipada: repago del principal al vencimiento o, en su caso, venta del token en mercado secundario.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6</w:t>
      </w:r>
    </w:p>
    <w:p>
      <w:pPr>
        <w:spacing w:after="20" w:before="100"/>
      </w:pPr>
      <w:r>
        <w:rPr>
          <w:b/>
          <w:bCs/>
          <w:color w:val="0f2f4a"/>
          <w:sz w:val="20"/>
          <w:szCs w:val="20"/>
        </w:rPr>
        <w:t xml:space="preserve">1. </w:t>
      </w:r>
      <w:r>
        <w:rPr>
          <w:color w:val="222222"/>
          <w:sz w:val="20"/>
          <w:szCs w:val="20"/>
        </w:rPr>
        <w:t xml:space="preserve">¿Qué es el test de idoneidad/conveniencia y por qué se realiza?</w:t>
      </w:r>
    </w:p>
    <w:p>
      <w:pPr>
        <w:spacing w:after="100"/>
      </w:pPr>
      <w:r>
        <w:rPr>
          <w:b/>
          <w:bCs/>
          <w:i/>
          <w:iCs/>
          <w:color w:val="555555"/>
          <w:sz w:val="19"/>
          <w:szCs w:val="19"/>
        </w:rPr>
        <w:t xml:space="preserve">Respuesta: </w:t>
      </w:r>
      <w:r>
        <w:rPr>
          <w:i/>
          <w:iCs/>
          <w:color w:val="444444"/>
          <w:sz w:val="19"/>
          <w:szCs w:val="19"/>
        </w:rPr>
        <w:t xml:space="preserve">Un cuestionario exigido por la normativa de protección al inversor para valorar sus conocimientos y experiencia financiera antes de permitirle invertir.</w:t>
      </w:r>
    </w:p>
    <w:p>
      <w:r>
        <w:br w:type="page"/>
      </w:r>
    </w:p>
    <w:p>
      <w:pPr>
        <w:pStyle w:val="Heading1"/>
        <w:pBdr>
          <w:bottom w:val="single" w:color="c8a46b" w:sz="6" w:space="4"/>
        </w:pBdr>
        <w:spacing w:after="160" w:before="200"/>
      </w:pPr>
      <w:r>
        <w:rPr>
          <w:b/>
          <w:bCs/>
          <w:color w:val="0f2f4a"/>
          <w:sz w:val="28"/>
          <w:szCs w:val="28"/>
        </w:rPr>
        <w:t xml:space="preserve">Módulo 7. Fiscalidad de la inversión (resumen)</w:t>
      </w:r>
    </w:p>
    <w:p>
      <w:pPr>
        <w:spacing w:after="120"/>
      </w:pPr>
      <w:r>
        <w:rPr>
          <w:color w:val="222222"/>
          <w:sz w:val="21"/>
          <w:szCs w:val="21"/>
        </w:rPr>
        <w:t xml:space="preserve">Este módulo resume los aspectos clave; el detalle completo se encuentra en el documento 'FAQ Fiscal Toqen Kâpital', que debe consultarse junto con un asesor fiscal antes de invertir.</w:t>
      </w:r>
    </w:p>
    <w:p>
      <w:pPr>
        <w:pStyle w:val="ListParagraph"/>
        <w:numPr>
          <w:ilvl w:val="0"/>
          <w:numId w:val="2"/>
        </w:numPr>
        <w:spacing w:after="60"/>
      </w:pPr>
      <w:r>
        <w:rPr>
          <w:color w:val="222222"/>
          <w:sz w:val="21"/>
          <w:szCs w:val="21"/>
        </w:rPr>
        <w:t xml:space="preserve">Residentes en España: los rendimientos periódicos tributan como rendimiento del capital mobiliario en la base del ahorro del IRPF, con retención a cuenta en el momento del pago.</w:t>
      </w:r>
    </w:p>
    <w:p>
      <w:pPr>
        <w:pStyle w:val="ListParagraph"/>
        <w:numPr>
          <w:ilvl w:val="0"/>
          <w:numId w:val="2"/>
        </w:numPr>
        <w:spacing w:after="60"/>
      </w:pPr>
      <w:r>
        <w:rPr>
          <w:color w:val="222222"/>
          <w:sz w:val="21"/>
          <w:szCs w:val="21"/>
        </w:rPr>
        <w:t xml:space="preserve">No residentes: tributación mediante IRNR, habitualmente al 19%, salvo aplicación de un Convenio de Doble Imposición que reduzca el tipo.</w:t>
      </w:r>
    </w:p>
    <w:p>
      <w:pPr>
        <w:pStyle w:val="ListParagraph"/>
        <w:numPr>
          <w:ilvl w:val="0"/>
          <w:numId w:val="2"/>
        </w:numPr>
        <w:spacing w:after="60"/>
      </w:pPr>
      <w:r>
        <w:rPr>
          <w:color w:val="222222"/>
          <w:sz w:val="21"/>
          <w:szCs w:val="21"/>
        </w:rPr>
        <w:t xml:space="preserve">El emisor tributa por Impuesto sobre Sociedades, siendo los intereses del bono, en general, gasto deducible.</w:t>
      </w:r>
    </w:p>
    <w:p>
      <w:pPr>
        <w:pStyle w:val="ListParagraph"/>
        <w:numPr>
          <w:ilvl w:val="0"/>
          <w:numId w:val="2"/>
        </w:numPr>
        <w:spacing w:after="60"/>
      </w:pPr>
      <w:r>
        <w:rPr>
          <w:color w:val="222222"/>
          <w:sz w:val="21"/>
          <w:szCs w:val="21"/>
        </w:rPr>
        <w:t xml:space="preserve">Existen obligaciones informativas (como el Modelo 720) que pueden resultar aplicables según el domicilio jurídico del emisor y el volumen de activos del inversor.</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La fiscalidad de los criptoactivos y de los instrumentos tokenizados está en desarrollo normativo constante; el tratamiento descrito puede variar.</w:t>
      </w:r>
    </w:p>
    <w:p>
      <w:r>
        <w:br w:type="page"/>
      </w:r>
    </w:p>
    <w:p>
      <w:pPr>
        <w:pStyle w:val="Heading1"/>
        <w:pBdr>
          <w:bottom w:val="single" w:color="c8a46b" w:sz="6" w:space="4"/>
        </w:pBdr>
        <w:spacing w:after="160" w:before="200"/>
      </w:pPr>
      <w:r>
        <w:rPr>
          <w:b/>
          <w:bCs/>
          <w:color w:val="0f2f4a"/>
          <w:sz w:val="28"/>
          <w:szCs w:val="28"/>
        </w:rPr>
        <w:t xml:space="preserve">Módulo 8. Riesgos y gestión de expectativas</w:t>
      </w:r>
    </w:p>
    <w:p>
      <w:pPr>
        <w:pStyle w:val="Heading2"/>
        <w:spacing w:after="100" w:before="220"/>
      </w:pPr>
      <w:r>
        <w:rPr>
          <w:b/>
          <w:bCs/>
          <w:color w:val="c8a46b"/>
          <w:sz w:val="22"/>
          <w:szCs w:val="22"/>
        </w:rPr>
        <w:t xml:space="preserve">8.1 Mapa de riesgos</w:t>
      </w:r>
    </w:p>
    <w:p>
      <w:pPr>
        <w:pStyle w:val="ListParagraph"/>
        <w:numPr>
          <w:ilvl w:val="0"/>
          <w:numId w:val="2"/>
        </w:numPr>
        <w:spacing w:after="60"/>
      </w:pPr>
      <w:r>
        <w:rPr>
          <w:color w:val="222222"/>
          <w:sz w:val="21"/>
          <w:szCs w:val="21"/>
        </w:rPr>
        <w:t xml:space="preserve">Riesgo de mercado inmobiliario: la evolución de precios en Torremolinos puede afectar a la rentabilidad final del proyecto.</w:t>
      </w:r>
    </w:p>
    <w:p>
      <w:pPr>
        <w:pStyle w:val="ListParagraph"/>
        <w:numPr>
          <w:ilvl w:val="0"/>
          <w:numId w:val="2"/>
        </w:numPr>
        <w:spacing w:after="60"/>
      </w:pPr>
      <w:r>
        <w:rPr>
          <w:color w:val="222222"/>
          <w:sz w:val="21"/>
          <w:szCs w:val="21"/>
        </w:rPr>
        <w:t xml:space="preserve">Riesgo urbanístico/administrativo: retrasos en la tramitación de la ATU.</w:t>
      </w:r>
    </w:p>
    <w:p>
      <w:pPr>
        <w:pStyle w:val="ListParagraph"/>
        <w:numPr>
          <w:ilvl w:val="0"/>
          <w:numId w:val="2"/>
        </w:numPr>
        <w:spacing w:after="60"/>
      </w:pPr>
      <w:r>
        <w:rPr>
          <w:color w:val="222222"/>
          <w:sz w:val="21"/>
          <w:szCs w:val="21"/>
        </w:rPr>
        <w:t xml:space="preserve">Riesgo de crédito/contraparte: la solvencia de Toqen Kâpital, S.A. como emisor determina la capacidad de repago.</w:t>
      </w:r>
    </w:p>
    <w:p>
      <w:pPr>
        <w:pStyle w:val="ListParagraph"/>
        <w:numPr>
          <w:ilvl w:val="0"/>
          <w:numId w:val="2"/>
        </w:numPr>
        <w:spacing w:after="60"/>
      </w:pPr>
      <w:r>
        <w:rPr>
          <w:color w:val="222222"/>
          <w:sz w:val="21"/>
          <w:szCs w:val="21"/>
        </w:rPr>
        <w:t xml:space="preserve">Riesgo de liquidez: no hay garantía de encontrar comprador en el mercado secundario.</w:t>
      </w:r>
    </w:p>
    <w:p>
      <w:pPr>
        <w:pStyle w:val="ListParagraph"/>
        <w:numPr>
          <w:ilvl w:val="0"/>
          <w:numId w:val="2"/>
        </w:numPr>
        <w:spacing w:after="60"/>
      </w:pPr>
      <w:r>
        <w:rPr>
          <w:color w:val="222222"/>
          <w:sz w:val="21"/>
          <w:szCs w:val="21"/>
        </w:rPr>
        <w:t xml:space="preserve">Riesgo regulatorio: cambios en la normativa española de mercado de valores durante la vida del proyecto.</w:t>
      </w:r>
    </w:p>
    <w:p>
      <w:pPr>
        <w:pStyle w:val="ListParagraph"/>
        <w:numPr>
          <w:ilvl w:val="0"/>
          <w:numId w:val="2"/>
        </w:numPr>
        <w:spacing w:after="60"/>
      </w:pPr>
      <w:r>
        <w:rPr>
          <w:color w:val="222222"/>
          <w:sz w:val="21"/>
          <w:szCs w:val="21"/>
        </w:rPr>
        <w:t xml:space="preserve">Riesgo tecnológico/operativo: custodia de claves privadas, disponibilidad de la plataforma.</w:t>
      </w:r>
    </w:p>
    <w:p>
      <w:pPr>
        <w:pStyle w:val="Heading2"/>
        <w:spacing w:after="100" w:before="220"/>
      </w:pPr>
      <w:r>
        <w:rPr>
          <w:b/>
          <w:bCs/>
          <w:color w:val="c8a46b"/>
          <w:sz w:val="22"/>
          <w:szCs w:val="22"/>
        </w:rPr>
        <w:t xml:space="preserve">8.2 Lo que esta inversión NO es</w:t>
      </w:r>
    </w:p>
    <w:p>
      <w:pPr>
        <w:pStyle w:val="ListParagraph"/>
        <w:numPr>
          <w:ilvl w:val="0"/>
          <w:numId w:val="2"/>
        </w:numPr>
        <w:spacing w:after="60"/>
      </w:pPr>
      <w:r>
        <w:rPr>
          <w:color w:val="222222"/>
          <w:sz w:val="21"/>
          <w:szCs w:val="21"/>
        </w:rPr>
        <w:t xml:space="preserve">No es un depósito bancario ni está cubierto por el Fondo de Garantía de Depósitos.</w:t>
      </w:r>
    </w:p>
    <w:p>
      <w:pPr>
        <w:pStyle w:val="ListParagraph"/>
        <w:numPr>
          <w:ilvl w:val="0"/>
          <w:numId w:val="2"/>
        </w:numPr>
        <w:spacing w:after="60"/>
      </w:pPr>
      <w:r>
        <w:rPr>
          <w:color w:val="222222"/>
          <w:sz w:val="21"/>
          <w:szCs w:val="21"/>
        </w:rPr>
        <w:t xml:space="preserve">No es una inversión sin riesgo por el hecho de tener garantía hipotecaria: la ejecución de una garantía real lleva tiempo y coste.</w:t>
      </w:r>
    </w:p>
    <w:p>
      <w:pPr>
        <w:pStyle w:val="ListParagraph"/>
        <w:numPr>
          <w:ilvl w:val="0"/>
          <w:numId w:val="2"/>
        </w:numPr>
        <w:spacing w:after="60"/>
      </w:pPr>
      <w:r>
        <w:rPr>
          <w:color w:val="222222"/>
          <w:sz w:val="21"/>
          <w:szCs w:val="21"/>
        </w:rPr>
        <w:t xml:space="preserve">No es un producto con liquidez diaria garantizada, como un fondo cotizado.</w:t>
      </w:r>
    </w:p>
    <w:p>
      <w:pPr>
        <w:pBdr>
          <w:top w:val="single" w:color="c8a46b" w:sz="4" w:space="6"/>
          <w:bottom w:val="single" w:color="c8a46b" w:sz="4" w:space="6"/>
          <w:left w:val="single" w:color="c8a46b" w:sz="4" w:space="6"/>
          <w:right w:val="single" w:color="c8a46b" w:sz="4" w:space="6"/>
        </w:pBdr>
        <w:shd w:fill="F4EEE2" w:val="clear"/>
        <w:spacing w:after="120" w:before="60"/>
      </w:pPr>
      <w:r>
        <w:rPr>
          <w:i/>
          <w:iCs/>
          <w:color w:val="6b5a3a"/>
          <w:sz w:val="19"/>
          <w:szCs w:val="19"/>
        </w:rPr>
        <w:t xml:space="preserve">Autoevaluación del módulo 8</w:t>
      </w:r>
    </w:p>
    <w:p>
      <w:pPr>
        <w:spacing w:after="20" w:before="100"/>
      </w:pPr>
      <w:r>
        <w:rPr>
          <w:b/>
          <w:bCs/>
          <w:color w:val="0f2f4a"/>
          <w:sz w:val="20"/>
          <w:szCs w:val="20"/>
        </w:rPr>
        <w:t xml:space="preserve">1. </w:t>
      </w:r>
      <w:r>
        <w:rPr>
          <w:color w:val="222222"/>
          <w:sz w:val="20"/>
          <w:szCs w:val="20"/>
        </w:rPr>
        <w:t xml:space="preserve">¿Está esta inversión cubierta por el Fondo de Garantía de Depósitos?</w:t>
      </w:r>
    </w:p>
    <w:p>
      <w:pPr>
        <w:spacing w:after="100"/>
      </w:pPr>
      <w:r>
        <w:rPr>
          <w:b/>
          <w:bCs/>
          <w:i/>
          <w:iCs/>
          <w:color w:val="555555"/>
          <w:sz w:val="19"/>
          <w:szCs w:val="19"/>
        </w:rPr>
        <w:t xml:space="preserve">Respuesta: </w:t>
      </w:r>
      <w:r>
        <w:rPr>
          <w:i/>
          <w:iCs/>
          <w:color w:val="444444"/>
          <w:sz w:val="19"/>
          <w:szCs w:val="19"/>
        </w:rPr>
        <w:t xml:space="preserve">No. Al no ser un depósito bancario, no cuenta con esa protección.</w:t>
      </w:r>
    </w:p>
    <w:p>
      <w:r>
        <w:br w:type="page"/>
      </w:r>
    </w:p>
    <w:p>
      <w:pPr>
        <w:pStyle w:val="Heading1"/>
        <w:pBdr>
          <w:bottom w:val="single" w:color="c8a46b" w:sz="6" w:space="4"/>
        </w:pBdr>
        <w:spacing w:after="160" w:before="200"/>
      </w:pPr>
      <w:r>
        <w:rPr>
          <w:b/>
          <w:bCs/>
          <w:color w:val="0f2f4a"/>
          <w:sz w:val="28"/>
          <w:szCs w:val="28"/>
        </w:rPr>
        <w:t xml:space="preserve">Módulo 9. Mercado secundario y liquidez</w:t>
      </w:r>
    </w:p>
    <w:p>
      <w:pPr>
        <w:spacing w:after="120"/>
      </w:pPr>
      <w:r>
        <w:rPr>
          <w:color w:val="222222"/>
          <w:sz w:val="21"/>
          <w:szCs w:val="21"/>
        </w:rPr>
        <w:t xml:space="preserve">Está previsto habilitar un mecanismo de mercado secundario entre inversores que hayan superado el proceso de verificación (KYC), siempre que sea autorizado por la CNMV, lo que permitiría, en teoría, vender el token antes del vencimiento del bono. No obstante, el inversor debe asumir la inversión con vocación de permanencia hasta el vencimiento, ya que no existe garantía de que en un momento dado haya contrapartida compradora ni de que el precio de venta refleje el valor nominal de la inversión.</w:t>
      </w:r>
    </w:p>
    <w:p>
      <w:pPr>
        <w:pStyle w:val="Heading2"/>
        <w:spacing w:after="100" w:before="220"/>
      </w:pPr>
      <w:r>
        <w:rPr>
          <w:b/>
          <w:bCs/>
          <w:color w:val="c8a46b"/>
          <w:sz w:val="22"/>
          <w:szCs w:val="22"/>
        </w:rPr>
        <w:t xml:space="preserve">9.1 Factores que pueden afectar a la liquidez</w:t>
      </w:r>
    </w:p>
    <w:p>
      <w:pPr>
        <w:pStyle w:val="ListParagraph"/>
        <w:numPr>
          <w:ilvl w:val="0"/>
          <w:numId w:val="2"/>
        </w:numPr>
        <w:spacing w:after="60"/>
      </w:pPr>
      <w:r>
        <w:rPr>
          <w:color w:val="222222"/>
          <w:sz w:val="21"/>
          <w:szCs w:val="21"/>
        </w:rPr>
        <w:t xml:space="preserve">El volumen total de inversores activos en la plataforma en cada momento.</w:t>
      </w:r>
    </w:p>
    <w:p>
      <w:pPr>
        <w:pStyle w:val="ListParagraph"/>
        <w:numPr>
          <w:ilvl w:val="0"/>
          <w:numId w:val="2"/>
        </w:numPr>
        <w:spacing w:after="60"/>
      </w:pPr>
      <w:r>
        <w:rPr>
          <w:color w:val="222222"/>
          <w:sz w:val="21"/>
          <w:szCs w:val="21"/>
        </w:rPr>
        <w:t xml:space="preserve">El grado de avance del proyecto (a mayor cercanía al vencimiento, distinta percepción de riesgo por parte de un comprador).</w:t>
      </w:r>
    </w:p>
    <w:p>
      <w:pPr>
        <w:pStyle w:val="ListParagraph"/>
        <w:numPr>
          <w:ilvl w:val="0"/>
          <w:numId w:val="2"/>
        </w:numPr>
        <w:spacing w:after="60"/>
      </w:pPr>
      <w:r>
        <w:rPr>
          <w:color w:val="222222"/>
          <w:sz w:val="21"/>
          <w:szCs w:val="21"/>
        </w:rPr>
        <w:t xml:space="preserve">Las condiciones generales de mercado para activos similares.</w:t>
      </w:r>
    </w:p>
    <w:p>
      <w:r>
        <w:br w:type="page"/>
      </w:r>
    </w:p>
    <w:p>
      <w:pPr>
        <w:pStyle w:val="Heading1"/>
        <w:pBdr>
          <w:bottom w:val="single" w:color="c8a46b" w:sz="6" w:space="4"/>
        </w:pBdr>
        <w:spacing w:after="160" w:before="200"/>
      </w:pPr>
      <w:r>
        <w:rPr>
          <w:b/>
          <w:bCs/>
          <w:color w:val="0f2f4a"/>
          <w:sz w:val="28"/>
          <w:szCs w:val="28"/>
        </w:rPr>
        <w:t xml:space="preserve">Módulo 10. Glosario y evaluación final</w:t>
      </w:r>
    </w:p>
    <w:p>
      <w:pPr>
        <w:pStyle w:val="Heading2"/>
        <w:spacing w:after="100" w:before="220"/>
      </w:pPr>
      <w:r>
        <w:rPr>
          <w:b/>
          <w:bCs/>
          <w:color w:val="c8a46b"/>
          <w:sz w:val="22"/>
          <w:szCs w:val="22"/>
        </w:rPr>
        <w:t xml:space="preserve">10.1 Glosario de términos clave</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2600"/>
        <w:gridCol w:w="6470"/>
      </w:tblGrid>
      <w:tr>
        <w:tc>
          <w:tcPr>
            <w:tcW w:type="dxa" w:w="2600"/>
            <w:shd w:fill="0f2f4a" w:val="clear"/>
            <w:tcMar>
              <w:top w:type="dxa" w:w="80"/>
              <w:left w:type="dxa" w:w="100"/>
              <w:bottom w:type="dxa" w:w="80"/>
              <w:right w:type="dxa" w:w="100"/>
            </w:tcMar>
          </w:tcPr>
          <w:p>
            <w:r>
              <w:rPr>
                <w:b/>
                <w:bCs/>
                <w:color w:val="FFFFFF"/>
                <w:sz w:val="19"/>
                <w:szCs w:val="19"/>
              </w:rPr>
              <w:t xml:space="preserve">Término</w:t>
            </w:r>
          </w:p>
        </w:tc>
        <w:tc>
          <w:tcPr>
            <w:tcW w:type="dxa" w:w="6470"/>
            <w:shd w:fill="0f2f4a" w:val="clear"/>
            <w:tcMar>
              <w:top w:type="dxa" w:w="80"/>
              <w:left w:type="dxa" w:w="100"/>
              <w:bottom w:type="dxa" w:w="80"/>
              <w:right w:type="dxa" w:w="100"/>
            </w:tcMar>
          </w:tcPr>
          <w:p>
            <w:r>
              <w:rPr>
                <w:b/>
                <w:bCs/>
                <w:color w:val="FFFFFF"/>
                <w:sz w:val="19"/>
                <w:szCs w:val="19"/>
              </w:rPr>
              <w:t xml:space="preserve">Definición</w:t>
            </w:r>
          </w:p>
        </w:tc>
      </w:tr>
      <w:tr>
        <w:tc>
          <w:tcPr>
            <w:tcW w:type="dxa" w:w="2600"/>
            <w:tcMar>
              <w:top w:type="dxa" w:w="80"/>
              <w:left w:type="dxa" w:w="100"/>
              <w:bottom w:type="dxa" w:w="80"/>
              <w:right w:type="dxa" w:w="100"/>
            </w:tcMar>
          </w:tcPr>
          <w:p>
            <w:r>
              <w:rPr>
                <w:b w:val="false"/>
                <w:bCs w:val="false"/>
                <w:color w:val="222222"/>
                <w:sz w:val="19"/>
                <w:szCs w:val="19"/>
              </w:rPr>
              <w:t xml:space="preserve">Blockchain</w:t>
            </w:r>
          </w:p>
        </w:tc>
        <w:tc>
          <w:tcPr>
            <w:tcW w:type="dxa" w:w="6470"/>
            <w:tcMar>
              <w:top w:type="dxa" w:w="80"/>
              <w:left w:type="dxa" w:w="100"/>
              <w:bottom w:type="dxa" w:w="80"/>
              <w:right w:type="dxa" w:w="100"/>
            </w:tcMar>
          </w:tcPr>
          <w:p>
            <w:r>
              <w:rPr>
                <w:b w:val="false"/>
                <w:bCs w:val="false"/>
                <w:color w:val="222222"/>
                <w:sz w:val="19"/>
                <w:szCs w:val="19"/>
              </w:rPr>
              <w:t xml:space="preserve">Registro distribuido de operaciones, replicado entre nodos y protegido criptográficamente.</w:t>
            </w:r>
          </w:p>
        </w:tc>
      </w:tr>
      <w:tr>
        <w:tc>
          <w:tcPr>
            <w:tcW w:type="dxa" w:w="2600"/>
            <w:tcMar>
              <w:top w:type="dxa" w:w="80"/>
              <w:left w:type="dxa" w:w="100"/>
              <w:bottom w:type="dxa" w:w="80"/>
              <w:right w:type="dxa" w:w="100"/>
            </w:tcMar>
          </w:tcPr>
          <w:p>
            <w:r>
              <w:rPr>
                <w:b w:val="false"/>
                <w:bCs w:val="false"/>
                <w:color w:val="222222"/>
                <w:sz w:val="19"/>
                <w:szCs w:val="19"/>
              </w:rPr>
              <w:t xml:space="preserve">Token</w:t>
            </w:r>
          </w:p>
        </w:tc>
        <w:tc>
          <w:tcPr>
            <w:tcW w:type="dxa" w:w="6470"/>
            <w:tcMar>
              <w:top w:type="dxa" w:w="80"/>
              <w:left w:type="dxa" w:w="100"/>
              <w:bottom w:type="dxa" w:w="80"/>
              <w:right w:type="dxa" w:w="100"/>
            </w:tcMar>
          </w:tcPr>
          <w:p>
            <w:r>
              <w:rPr>
                <w:b w:val="false"/>
                <w:bCs w:val="false"/>
                <w:color w:val="222222"/>
                <w:sz w:val="19"/>
                <w:szCs w:val="19"/>
              </w:rPr>
              <w:t xml:space="preserve">Representación digital de un derecho (económico, de crédito, de propiedad) construida sobre una blockchain.</w:t>
            </w:r>
          </w:p>
        </w:tc>
      </w:tr>
      <w:tr>
        <w:tc>
          <w:tcPr>
            <w:tcW w:type="dxa" w:w="2600"/>
            <w:tcMar>
              <w:top w:type="dxa" w:w="80"/>
              <w:left w:type="dxa" w:w="100"/>
              <w:bottom w:type="dxa" w:w="80"/>
              <w:right w:type="dxa" w:w="100"/>
            </w:tcMar>
          </w:tcPr>
          <w:p>
            <w:r>
              <w:rPr>
                <w:b w:val="false"/>
                <w:bCs w:val="false"/>
                <w:color w:val="222222"/>
                <w:sz w:val="19"/>
                <w:szCs w:val="19"/>
              </w:rPr>
              <w:t xml:space="preserve">Wallet</w:t>
            </w:r>
          </w:p>
        </w:tc>
        <w:tc>
          <w:tcPr>
            <w:tcW w:type="dxa" w:w="6470"/>
            <w:tcMar>
              <w:top w:type="dxa" w:w="80"/>
              <w:left w:type="dxa" w:w="100"/>
              <w:bottom w:type="dxa" w:w="80"/>
              <w:right w:type="dxa" w:w="100"/>
            </w:tcMar>
          </w:tcPr>
          <w:p>
            <w:r>
              <w:rPr>
                <w:b w:val="false"/>
                <w:bCs w:val="false"/>
                <w:color w:val="222222"/>
                <w:sz w:val="19"/>
                <w:szCs w:val="19"/>
              </w:rPr>
              <w:t xml:space="preserve">Herramienta que gestiona las claves privadas y permite firmar operaciones sobre los tokens.</w:t>
            </w:r>
          </w:p>
        </w:tc>
      </w:tr>
      <w:tr>
        <w:tc>
          <w:tcPr>
            <w:tcW w:type="dxa" w:w="2600"/>
            <w:tcMar>
              <w:top w:type="dxa" w:w="80"/>
              <w:left w:type="dxa" w:w="100"/>
              <w:bottom w:type="dxa" w:w="80"/>
              <w:right w:type="dxa" w:w="100"/>
            </w:tcMar>
          </w:tcPr>
          <w:p>
            <w:r>
              <w:rPr>
                <w:b w:val="false"/>
                <w:bCs w:val="false"/>
                <w:color w:val="222222"/>
                <w:sz w:val="19"/>
                <w:szCs w:val="19"/>
              </w:rPr>
              <w:t xml:space="preserve">Clave privada</w:t>
            </w:r>
          </w:p>
        </w:tc>
        <w:tc>
          <w:tcPr>
            <w:tcW w:type="dxa" w:w="6470"/>
            <w:tcMar>
              <w:top w:type="dxa" w:w="80"/>
              <w:left w:type="dxa" w:w="100"/>
              <w:bottom w:type="dxa" w:w="80"/>
              <w:right w:type="dxa" w:w="100"/>
            </w:tcMar>
          </w:tcPr>
          <w:p>
            <w:r>
              <w:rPr>
                <w:b w:val="false"/>
                <w:bCs w:val="false"/>
                <w:color w:val="222222"/>
                <w:sz w:val="19"/>
                <w:szCs w:val="19"/>
              </w:rPr>
              <w:t xml:space="preserve">Código secreto que demuestra la titularidad de un token y autoriza su transferencia.</w:t>
            </w:r>
          </w:p>
        </w:tc>
      </w:tr>
      <w:tr>
        <w:tc>
          <w:tcPr>
            <w:tcW w:type="dxa" w:w="2600"/>
            <w:tcMar>
              <w:top w:type="dxa" w:w="80"/>
              <w:left w:type="dxa" w:w="100"/>
              <w:bottom w:type="dxa" w:w="80"/>
              <w:right w:type="dxa" w:w="100"/>
            </w:tcMar>
          </w:tcPr>
          <w:p>
            <w:r>
              <w:rPr>
                <w:b w:val="false"/>
                <w:bCs w:val="false"/>
                <w:color w:val="222222"/>
                <w:sz w:val="19"/>
                <w:szCs w:val="19"/>
              </w:rPr>
              <w:t xml:space="preserve">Smart contract</w:t>
            </w:r>
          </w:p>
        </w:tc>
        <w:tc>
          <w:tcPr>
            <w:tcW w:type="dxa" w:w="6470"/>
            <w:tcMar>
              <w:top w:type="dxa" w:w="80"/>
              <w:left w:type="dxa" w:w="100"/>
              <w:bottom w:type="dxa" w:w="80"/>
              <w:right w:type="dxa" w:w="100"/>
            </w:tcMar>
          </w:tcPr>
          <w:p>
            <w:r>
              <w:rPr>
                <w:b w:val="false"/>
                <w:bCs w:val="false"/>
                <w:color w:val="222222"/>
                <w:sz w:val="19"/>
                <w:szCs w:val="19"/>
              </w:rPr>
              <w:t xml:space="preserve">Programa que ejecuta automáticamente condiciones predefinidas sobre la blockchain.</w:t>
            </w:r>
          </w:p>
        </w:tc>
      </w:tr>
      <w:tr>
        <w:tc>
          <w:tcPr>
            <w:tcW w:type="dxa" w:w="2600"/>
            <w:tcMar>
              <w:top w:type="dxa" w:w="80"/>
              <w:left w:type="dxa" w:w="100"/>
              <w:bottom w:type="dxa" w:w="80"/>
              <w:right w:type="dxa" w:w="100"/>
            </w:tcMar>
          </w:tcPr>
          <w:p>
            <w:r>
              <w:rPr>
                <w:b w:val="false"/>
                <w:bCs w:val="false"/>
                <w:color w:val="222222"/>
                <w:sz w:val="19"/>
                <w:szCs w:val="19"/>
              </w:rPr>
              <w:t xml:space="preserve">RWA (Real World Asset)</w:t>
            </w:r>
          </w:p>
        </w:tc>
        <w:tc>
          <w:tcPr>
            <w:tcW w:type="dxa" w:w="6470"/>
            <w:tcMar>
              <w:top w:type="dxa" w:w="80"/>
              <w:left w:type="dxa" w:w="100"/>
              <w:bottom w:type="dxa" w:w="80"/>
              <w:right w:type="dxa" w:w="100"/>
            </w:tcMar>
          </w:tcPr>
          <w:p>
            <w:r>
              <w:rPr>
                <w:b w:val="false"/>
                <w:bCs w:val="false"/>
                <w:color w:val="222222"/>
                <w:sz w:val="19"/>
                <w:szCs w:val="19"/>
              </w:rPr>
              <w:t xml:space="preserve">Activo del mundo real cuyo derecho económico se representa mediante un token.</w:t>
            </w:r>
          </w:p>
        </w:tc>
      </w:tr>
      <w:tr>
        <w:tc>
          <w:tcPr>
            <w:tcW w:type="dxa" w:w="2600"/>
            <w:tcMar>
              <w:top w:type="dxa" w:w="80"/>
              <w:left w:type="dxa" w:w="100"/>
              <w:bottom w:type="dxa" w:w="80"/>
              <w:right w:type="dxa" w:w="100"/>
            </w:tcMar>
          </w:tcPr>
          <w:p>
            <w:r>
              <w:rPr>
                <w:b w:val="false"/>
                <w:bCs w:val="false"/>
                <w:color w:val="222222"/>
                <w:sz w:val="19"/>
                <w:szCs w:val="19"/>
              </w:rPr>
              <w:t xml:space="preserve">SPV</w:t>
            </w:r>
          </w:p>
        </w:tc>
        <w:tc>
          <w:tcPr>
            <w:tcW w:type="dxa" w:w="6470"/>
            <w:tcMar>
              <w:top w:type="dxa" w:w="80"/>
              <w:left w:type="dxa" w:w="100"/>
              <w:bottom w:type="dxa" w:w="80"/>
              <w:right w:type="dxa" w:w="100"/>
            </w:tcMar>
          </w:tcPr>
          <w:p>
            <w:r>
              <w:rPr>
                <w:b w:val="false"/>
                <w:bCs w:val="false"/>
                <w:color w:val="222222"/>
                <w:sz w:val="19"/>
                <w:szCs w:val="19"/>
              </w:rPr>
              <w:t xml:space="preserve">Sociedad vehículo creada para aislar el riesgo de un proyecto concreto.</w:t>
            </w:r>
          </w:p>
        </w:tc>
      </w:tr>
      <w:tr>
        <w:tc>
          <w:tcPr>
            <w:tcW w:type="dxa" w:w="2600"/>
            <w:tcMar>
              <w:top w:type="dxa" w:w="80"/>
              <w:left w:type="dxa" w:w="100"/>
              <w:bottom w:type="dxa" w:w="80"/>
              <w:right w:type="dxa" w:w="100"/>
            </w:tcMar>
          </w:tcPr>
          <w:p>
            <w:r>
              <w:rPr>
                <w:b w:val="false"/>
                <w:bCs w:val="false"/>
                <w:color w:val="222222"/>
                <w:sz w:val="19"/>
                <w:szCs w:val="19"/>
              </w:rPr>
              <w:t xml:space="preserve">Bono</w:t>
            </w:r>
          </w:p>
        </w:tc>
        <w:tc>
          <w:tcPr>
            <w:tcW w:type="dxa" w:w="6470"/>
            <w:tcMar>
              <w:top w:type="dxa" w:w="80"/>
              <w:left w:type="dxa" w:w="100"/>
              <w:bottom w:type="dxa" w:w="80"/>
              <w:right w:type="dxa" w:w="100"/>
            </w:tcMar>
          </w:tcPr>
          <w:p>
            <w:r>
              <w:rPr>
                <w:b w:val="false"/>
                <w:bCs w:val="false"/>
                <w:color w:val="222222"/>
                <w:sz w:val="19"/>
                <w:szCs w:val="19"/>
              </w:rPr>
              <w:t xml:space="preserve">Instrumento de deuda emitido por Toqen Kâpital, S.A.; su titularidad se representa mediante tokens y puede contar con garantía hipotecaria.</w:t>
            </w:r>
          </w:p>
        </w:tc>
      </w:tr>
      <w:tr>
        <w:tc>
          <w:tcPr>
            <w:tcW w:type="dxa" w:w="2600"/>
            <w:tcMar>
              <w:top w:type="dxa" w:w="80"/>
              <w:left w:type="dxa" w:w="100"/>
              <w:bottom w:type="dxa" w:w="80"/>
              <w:right w:type="dxa" w:w="100"/>
            </w:tcMar>
          </w:tcPr>
          <w:p>
            <w:r>
              <w:rPr>
                <w:b w:val="false"/>
                <w:bCs w:val="false"/>
                <w:color w:val="222222"/>
                <w:sz w:val="19"/>
                <w:szCs w:val="19"/>
              </w:rPr>
              <w:t xml:space="preserve">MiCA</w:t>
            </w:r>
          </w:p>
        </w:tc>
        <w:tc>
          <w:tcPr>
            <w:tcW w:type="dxa" w:w="6470"/>
            <w:tcMar>
              <w:top w:type="dxa" w:w="80"/>
              <w:left w:type="dxa" w:w="100"/>
              <w:bottom w:type="dxa" w:w="80"/>
              <w:right w:type="dxa" w:w="100"/>
            </w:tcMar>
          </w:tcPr>
          <w:p>
            <w:r>
              <w:rPr>
                <w:b w:val="false"/>
                <w:bCs w:val="false"/>
                <w:color w:val="222222"/>
                <w:sz w:val="19"/>
                <w:szCs w:val="19"/>
              </w:rPr>
              <w:t xml:space="preserve">Reglamento europeo que regula los criptoactivos; no resulta de aplicación a los bonos tokenizados de Toqen Kâpital, que son instrumentos de deuda tradicionales.</w:t>
            </w:r>
          </w:p>
        </w:tc>
      </w:tr>
      <w:tr>
        <w:tc>
          <w:tcPr>
            <w:tcW w:type="dxa" w:w="2600"/>
            <w:tcMar>
              <w:top w:type="dxa" w:w="80"/>
              <w:left w:type="dxa" w:w="100"/>
              <w:bottom w:type="dxa" w:w="80"/>
              <w:right w:type="dxa" w:w="100"/>
            </w:tcMar>
          </w:tcPr>
          <w:p>
            <w:r>
              <w:rPr>
                <w:b w:val="false"/>
                <w:bCs w:val="false"/>
                <w:color w:val="222222"/>
                <w:sz w:val="19"/>
                <w:szCs w:val="19"/>
              </w:rPr>
              <w:t xml:space="preserve">KYC / KYB</w:t>
            </w:r>
          </w:p>
        </w:tc>
        <w:tc>
          <w:tcPr>
            <w:tcW w:type="dxa" w:w="6470"/>
            <w:tcMar>
              <w:top w:type="dxa" w:w="80"/>
              <w:left w:type="dxa" w:w="100"/>
              <w:bottom w:type="dxa" w:w="80"/>
              <w:right w:type="dxa" w:w="100"/>
            </w:tcMar>
          </w:tcPr>
          <w:p>
            <w:r>
              <w:rPr>
                <w:b w:val="false"/>
                <w:bCs w:val="false"/>
                <w:color w:val="222222"/>
                <w:sz w:val="19"/>
                <w:szCs w:val="19"/>
              </w:rPr>
              <w:t xml:space="preserve">Procesos de verificación de identidad de personas físicas (KYC) o jurídicas (KYB).</w:t>
            </w:r>
          </w:p>
        </w:tc>
      </w:tr>
      <w:tr>
        <w:tc>
          <w:tcPr>
            <w:tcW w:type="dxa" w:w="2600"/>
            <w:tcMar>
              <w:top w:type="dxa" w:w="80"/>
              <w:left w:type="dxa" w:w="100"/>
              <w:bottom w:type="dxa" w:w="80"/>
              <w:right w:type="dxa" w:w="100"/>
            </w:tcMar>
          </w:tcPr>
          <w:p>
            <w:r>
              <w:rPr>
                <w:b w:val="false"/>
                <w:bCs w:val="false"/>
                <w:color w:val="222222"/>
                <w:sz w:val="19"/>
                <w:szCs w:val="19"/>
              </w:rPr>
              <w:t xml:space="preserve">TAE</w:t>
            </w:r>
          </w:p>
        </w:tc>
        <w:tc>
          <w:tcPr>
            <w:tcW w:type="dxa" w:w="6470"/>
            <w:tcMar>
              <w:top w:type="dxa" w:w="80"/>
              <w:left w:type="dxa" w:w="100"/>
              <w:bottom w:type="dxa" w:w="80"/>
              <w:right w:type="dxa" w:w="100"/>
            </w:tcMar>
          </w:tcPr>
          <w:p>
            <w:r>
              <w:rPr>
                <w:b w:val="false"/>
                <w:bCs w:val="false"/>
                <w:color w:val="222222"/>
                <w:sz w:val="19"/>
                <w:szCs w:val="19"/>
              </w:rPr>
              <w:t xml:space="preserve">Tasa Anual Equivalente: rentabilidad anualizada de un instrumento financiero.</w:t>
            </w:r>
          </w:p>
        </w:tc>
      </w:tr>
      <w:tr>
        <w:tc>
          <w:tcPr>
            <w:tcW w:type="dxa" w:w="2600"/>
            <w:tcMar>
              <w:top w:type="dxa" w:w="80"/>
              <w:left w:type="dxa" w:w="100"/>
              <w:bottom w:type="dxa" w:w="80"/>
              <w:right w:type="dxa" w:w="100"/>
            </w:tcMar>
          </w:tcPr>
          <w:p>
            <w:r>
              <w:rPr>
                <w:b w:val="false"/>
                <w:bCs w:val="false"/>
                <w:color w:val="222222"/>
                <w:sz w:val="19"/>
                <w:szCs w:val="19"/>
              </w:rPr>
              <w:t xml:space="preserve">Hard cap / Soft cap</w:t>
            </w:r>
          </w:p>
        </w:tc>
        <w:tc>
          <w:tcPr>
            <w:tcW w:type="dxa" w:w="6470"/>
            <w:tcMar>
              <w:top w:type="dxa" w:w="80"/>
              <w:left w:type="dxa" w:w="100"/>
              <w:bottom w:type="dxa" w:w="80"/>
              <w:right w:type="dxa" w:w="100"/>
            </w:tcMar>
          </w:tcPr>
          <w:p>
            <w:r>
              <w:rPr>
                <w:b w:val="false"/>
                <w:bCs w:val="false"/>
                <w:color w:val="222222"/>
                <w:sz w:val="19"/>
                <w:szCs w:val="19"/>
              </w:rPr>
              <w:t xml:space="preserve">Importe máximo objetivo y mínimo de viabilidad de una ronda de captación.</w:t>
            </w:r>
          </w:p>
        </w:tc>
      </w:tr>
      <w:tr>
        <w:tc>
          <w:tcPr>
            <w:tcW w:type="dxa" w:w="2600"/>
            <w:tcMar>
              <w:top w:type="dxa" w:w="80"/>
              <w:left w:type="dxa" w:w="100"/>
              <w:bottom w:type="dxa" w:w="80"/>
              <w:right w:type="dxa" w:w="100"/>
            </w:tcMar>
          </w:tcPr>
          <w:p>
            <w:r>
              <w:rPr>
                <w:b w:val="false"/>
                <w:bCs w:val="false"/>
                <w:color w:val="222222"/>
                <w:sz w:val="19"/>
                <w:szCs w:val="19"/>
              </w:rPr>
              <w:t xml:space="preserve">ERIR</w:t>
            </w:r>
          </w:p>
        </w:tc>
        <w:tc>
          <w:tcPr>
            <w:tcW w:type="dxa" w:w="6470"/>
            <w:tcMar>
              <w:top w:type="dxa" w:w="80"/>
              <w:left w:type="dxa" w:w="100"/>
              <w:bottom w:type="dxa" w:w="80"/>
              <w:right w:type="dxa" w:w="100"/>
            </w:tcMar>
          </w:tcPr>
          <w:p>
            <w:r>
              <w:rPr>
                <w:b w:val="false"/>
                <w:bCs w:val="false"/>
                <w:color w:val="222222"/>
                <w:sz w:val="19"/>
                <w:szCs w:val="19"/>
              </w:rPr>
              <w:t xml:space="preserve">Entidad de registro autorizada por la CNMV para emisiones tokenizadas.</w:t>
            </w:r>
          </w:p>
        </w:tc>
      </w:tr>
      <w:tr>
        <w:tc>
          <w:tcPr>
            <w:tcW w:type="dxa" w:w="2600"/>
            <w:tcMar>
              <w:top w:type="dxa" w:w="80"/>
              <w:left w:type="dxa" w:w="100"/>
              <w:bottom w:type="dxa" w:w="80"/>
              <w:right w:type="dxa" w:w="100"/>
            </w:tcMar>
          </w:tcPr>
          <w:p>
            <w:r>
              <w:rPr>
                <w:b w:val="false"/>
                <w:bCs w:val="false"/>
                <w:color w:val="222222"/>
                <w:sz w:val="19"/>
                <w:szCs w:val="19"/>
              </w:rPr>
              <w:t xml:space="preserve">Sindicato de obligacionistas</w:t>
            </w:r>
          </w:p>
        </w:tc>
        <w:tc>
          <w:tcPr>
            <w:tcW w:type="dxa" w:w="6470"/>
            <w:tcMar>
              <w:top w:type="dxa" w:w="80"/>
              <w:left w:type="dxa" w:w="100"/>
              <w:bottom w:type="dxa" w:w="80"/>
              <w:right w:type="dxa" w:w="100"/>
            </w:tcMar>
          </w:tcPr>
          <w:p>
            <w:r>
              <w:rPr>
                <w:b w:val="false"/>
                <w:bCs w:val="false"/>
                <w:color w:val="222222"/>
                <w:sz w:val="19"/>
                <w:szCs w:val="19"/>
              </w:rPr>
              <w:t xml:space="preserve">Órgano que representa colectivamente a los inversores frente al emisor, a través de un comisario independiente.</w:t>
            </w:r>
          </w:p>
        </w:tc>
      </w:tr>
    </w:tbl>
    <w:p>
      <w:pPr>
        <w:pStyle w:val="Heading2"/>
        <w:spacing w:after="100" w:before="220"/>
      </w:pPr>
      <w:r>
        <w:rPr>
          <w:b/>
          <w:bCs/>
          <w:color w:val="c8a46b"/>
          <w:sz w:val="22"/>
          <w:szCs w:val="22"/>
        </w:rPr>
        <w:t xml:space="preserve">10.2 Evaluación final</w:t>
      </w:r>
    </w:p>
    <w:p>
      <w:pPr>
        <w:spacing w:after="20" w:before="100"/>
      </w:pPr>
      <w:r>
        <w:rPr>
          <w:b/>
          <w:bCs/>
          <w:color w:val="0f2f4a"/>
          <w:sz w:val="20"/>
          <w:szCs w:val="20"/>
        </w:rPr>
        <w:t xml:space="preserve">1. </w:t>
      </w:r>
      <w:r>
        <w:rPr>
          <w:color w:val="222222"/>
          <w:sz w:val="20"/>
          <w:szCs w:val="20"/>
        </w:rPr>
        <w:t xml:space="preserve">¿Qué representa el token de Las Laderas del Pinillo: propiedad directa del inmueble o una fracción de un bono frente al emisor?</w:t>
      </w:r>
    </w:p>
    <w:p>
      <w:pPr>
        <w:spacing w:after="100"/>
      </w:pPr>
      <w:r>
        <w:rPr>
          <w:b/>
          <w:bCs/>
          <w:i/>
          <w:iCs/>
          <w:color w:val="555555"/>
          <w:sz w:val="19"/>
          <w:szCs w:val="19"/>
        </w:rPr>
        <w:t xml:space="preserve">Respuesta: </w:t>
      </w:r>
      <w:r>
        <w:rPr>
          <w:i/>
          <w:iCs/>
          <w:color w:val="444444"/>
          <w:sz w:val="19"/>
          <w:szCs w:val="19"/>
        </w:rPr>
        <w:t xml:space="preserve">Una fracción de un bono con garantía hipotecaria emitido por Toqen Kâpital, S.A., no la propiedad directa del inmueble.</w:t>
      </w:r>
    </w:p>
    <w:p>
      <w:pPr>
        <w:spacing w:after="20" w:before="100"/>
      </w:pPr>
      <w:r>
        <w:rPr>
          <w:b/>
          <w:bCs/>
          <w:color w:val="0f2f4a"/>
          <w:sz w:val="20"/>
          <w:szCs w:val="20"/>
        </w:rPr>
        <w:t xml:space="preserve">2. </w:t>
      </w:r>
      <w:r>
        <w:rPr>
          <w:color w:val="222222"/>
          <w:sz w:val="20"/>
          <w:szCs w:val="20"/>
        </w:rPr>
        <w:t xml:space="preserve">¿Qué elemento de seguridad es responsabilidad directa del inversor en autocustodia?</w:t>
      </w:r>
    </w:p>
    <w:p>
      <w:pPr>
        <w:spacing w:after="100"/>
      </w:pPr>
      <w:r>
        <w:rPr>
          <w:b/>
          <w:bCs/>
          <w:i/>
          <w:iCs/>
          <w:color w:val="555555"/>
          <w:sz w:val="19"/>
          <w:szCs w:val="19"/>
        </w:rPr>
        <w:t xml:space="preserve">Respuesta: </w:t>
      </w:r>
      <w:r>
        <w:rPr>
          <w:i/>
          <w:iCs/>
          <w:color w:val="444444"/>
          <w:sz w:val="19"/>
          <w:szCs w:val="19"/>
        </w:rPr>
        <w:t xml:space="preserve">La custodia y protección de su clave privada.</w:t>
      </w:r>
    </w:p>
    <w:p>
      <w:pPr>
        <w:spacing w:after="20" w:before="100"/>
      </w:pPr>
      <w:r>
        <w:rPr>
          <w:b/>
          <w:bCs/>
          <w:color w:val="0f2f4a"/>
          <w:sz w:val="20"/>
          <w:szCs w:val="20"/>
        </w:rPr>
        <w:t xml:space="preserve">3. </w:t>
      </w:r>
      <w:r>
        <w:rPr>
          <w:color w:val="222222"/>
          <w:sz w:val="20"/>
          <w:szCs w:val="20"/>
        </w:rPr>
        <w:t xml:space="preserve">¿Qué autoridad supervisa, total o parcialmente, este tipo de instrumentos en España?</w:t>
      </w:r>
    </w:p>
    <w:p>
      <w:pPr>
        <w:spacing w:after="100"/>
      </w:pPr>
      <w:r>
        <w:rPr>
          <w:b/>
          <w:bCs/>
          <w:i/>
          <w:iCs/>
          <w:color w:val="555555"/>
          <w:sz w:val="19"/>
          <w:szCs w:val="19"/>
        </w:rPr>
        <w:t xml:space="preserve">Respuesta: </w:t>
      </w:r>
      <w:r>
        <w:rPr>
          <w:i/>
          <w:iCs/>
          <w:color w:val="444444"/>
          <w:sz w:val="19"/>
          <w:szCs w:val="19"/>
        </w:rPr>
        <w:t xml:space="preserve">La CNMV, en el marco de la Ley del Mercado de Valores y como autoridad que autoriza al ERIR de la emisión.</w:t>
      </w:r>
    </w:p>
    <w:p>
      <w:pPr>
        <w:spacing w:after="20" w:before="100"/>
      </w:pPr>
      <w:r>
        <w:rPr>
          <w:b/>
          <w:bCs/>
          <w:color w:val="0f2f4a"/>
          <w:sz w:val="20"/>
          <w:szCs w:val="20"/>
        </w:rPr>
        <w:t xml:space="preserve">4. </w:t>
      </w:r>
      <w:r>
        <w:rPr>
          <w:color w:val="222222"/>
          <w:sz w:val="20"/>
          <w:szCs w:val="20"/>
        </w:rPr>
        <w:t xml:space="preserve">¿Está garantizado el capital invertido?</w:t>
      </w:r>
    </w:p>
    <w:p>
      <w:pPr>
        <w:spacing w:after="100"/>
      </w:pPr>
      <w:r>
        <w:rPr>
          <w:b/>
          <w:bCs/>
          <w:i/>
          <w:iCs/>
          <w:color w:val="555555"/>
          <w:sz w:val="19"/>
          <w:szCs w:val="19"/>
        </w:rPr>
        <w:t xml:space="preserve">Respuesta: </w:t>
      </w:r>
      <w:r>
        <w:rPr>
          <w:i/>
          <w:iCs/>
          <w:color w:val="444444"/>
          <w:sz w:val="19"/>
          <w:szCs w:val="19"/>
        </w:rPr>
        <w:t xml:space="preserve">No; existe riesgo de pérdida parcial o total, mitigado pero no eliminado por la garantía hipotecaria.</w:t>
      </w:r>
    </w:p>
    <w:p>
      <w:pPr>
        <w:spacing w:after="20" w:before="100"/>
      </w:pPr>
      <w:r>
        <w:rPr>
          <w:b/>
          <w:bCs/>
          <w:color w:val="0f2f4a"/>
          <w:sz w:val="20"/>
          <w:szCs w:val="20"/>
        </w:rPr>
        <w:t xml:space="preserve">5. </w:t>
      </w:r>
      <w:r>
        <w:rPr>
          <w:color w:val="222222"/>
          <w:sz w:val="20"/>
          <w:szCs w:val="20"/>
        </w:rPr>
        <w:t xml:space="preserve">¿Quién ejecuta la construcción del proyecto Las Laderas del Pinillo?</w:t>
      </w:r>
    </w:p>
    <w:p>
      <w:pPr>
        <w:spacing w:after="100"/>
      </w:pPr>
      <w:r>
        <w:rPr>
          <w:b/>
          <w:bCs/>
          <w:i/>
          <w:iCs/>
          <w:color w:val="555555"/>
          <w:sz w:val="19"/>
          <w:szCs w:val="19"/>
        </w:rPr>
        <w:t xml:space="preserve">Respuesta: </w:t>
      </w:r>
      <w:r>
        <w:rPr>
          <w:i/>
          <w:iCs/>
          <w:color w:val="444444"/>
          <w:sz w:val="19"/>
          <w:szCs w:val="19"/>
        </w:rPr>
        <w:t xml:space="preserve">La SPV promotora, Las Laderas del Pinillo, S.L., vinculada al Grupo Azabache.</w:t>
      </w:r>
    </w:p>
    <w:p>
      <w:pPr>
        <w:pBdr>
          <w:top w:val="single" w:color="c8a46b" w:sz="4" w:space="6"/>
        </w:pBdr>
        <w:spacing w:after="80" w:before="320"/>
      </w:pPr>
      <w:r>
        <w:rPr>
          <w:i/>
          <w:iCs/>
          <w:color w:val="777777"/>
          <w:sz w:val="19"/>
          <w:szCs w:val="19"/>
        </w:rPr>
        <w:t xml:space="preserve">Este curso es material formativo y divulgativo, complementario al white paper y a la documentación contractual del proyecto. No sustituye el asesoramiento financiero, fiscal o legal individualizado.</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abstractNum w:abstractNumId="3"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2026-07-27T08:24:05.339Z</dcterms:created>
  <dcterms:modified xsi:type="dcterms:W3CDTF">2026-07-27T08:24:05.359Z</dcterms:modified>
</cp:coreProperties>
</file>

<file path=docProps/custom.xml><?xml version="1.0" encoding="utf-8"?>
<Properties xmlns="http://schemas.openxmlformats.org/officeDocument/2006/custom-properties" xmlns:vt="http://schemas.openxmlformats.org/officeDocument/2006/docPropsVTypes"/>
</file>